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1" w:rsidRDefault="002F316E" w:rsidP="00A7046E">
      <w:pPr>
        <w:spacing w:after="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2141E">
        <w:rPr>
          <w:rFonts w:ascii="Times New Roman" w:hAnsi="Times New Roman" w:cs="Times New Roman"/>
          <w:b/>
          <w:sz w:val="28"/>
          <w:szCs w:val="32"/>
        </w:rPr>
        <w:t xml:space="preserve">Istruzioni per la compilazione della scheda d'insegnamento </w:t>
      </w:r>
    </w:p>
    <w:p w:rsidR="0099486E" w:rsidRDefault="0099486E" w:rsidP="00A7046E">
      <w:pPr>
        <w:spacing w:after="4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1FDD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D" w:rsidRPr="00701FDD" w:rsidRDefault="002F316E" w:rsidP="00701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>nsegnamento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D" w:rsidRDefault="0083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ECONOMICA</w:t>
            </w:r>
          </w:p>
        </w:tc>
      </w:tr>
      <w:tr w:rsidR="00701FDD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D" w:rsidRPr="00701FDD" w:rsidRDefault="00701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>Livello e Corso di Studio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D" w:rsidRPr="002F316E" w:rsidRDefault="00835D27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</w:t>
            </w:r>
          </w:p>
        </w:tc>
      </w:tr>
      <w:tr w:rsidR="00594FDE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DE" w:rsidRPr="001674B1" w:rsidRDefault="00594FD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4E2A">
              <w:rPr>
                <w:rFonts w:ascii="Times New Roman" w:hAnsi="Times New Roman" w:cs="Times New Roman"/>
                <w:b/>
                <w:sz w:val="24"/>
                <w:szCs w:val="24"/>
              </w:rPr>
              <w:t>Settore scientifico disciplinare (SSD</w:t>
            </w:r>
            <w:r w:rsidR="00E54E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E" w:rsidRPr="00594FDE" w:rsidRDefault="0083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SECS-P/12</w:t>
            </w:r>
          </w:p>
        </w:tc>
      </w:tr>
      <w:tr w:rsidR="00701FDD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D" w:rsidRPr="0099486E" w:rsidRDefault="00701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6E">
              <w:rPr>
                <w:rFonts w:ascii="Times New Roman" w:hAnsi="Times New Roman" w:cs="Times New Roman"/>
                <w:b/>
                <w:sz w:val="24"/>
                <w:szCs w:val="24"/>
              </w:rPr>
              <w:t>Anno di corso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D" w:rsidRDefault="00835D27" w:rsidP="00594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FDD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D" w:rsidRPr="0099486E" w:rsidRDefault="00701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Numero </w:t>
            </w:r>
            <w:r w:rsidR="00E54E2A" w:rsidRPr="0099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99486E">
              <w:rPr>
                <w:rFonts w:ascii="Times New Roman" w:hAnsi="Times New Roman" w:cs="Times New Roman"/>
                <w:b/>
                <w:sz w:val="24"/>
                <w:szCs w:val="24"/>
              </w:rPr>
              <w:t>di crediti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D" w:rsidRPr="00594FDE" w:rsidRDefault="0083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  <w:proofErr w:type="spellEnd"/>
          </w:p>
        </w:tc>
      </w:tr>
      <w:tr w:rsidR="00594FDE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DE" w:rsidRPr="0099486E" w:rsidRDefault="00594FDE" w:rsidP="00F211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6E">
              <w:rPr>
                <w:rFonts w:ascii="Times New Roman" w:hAnsi="Times New Roman" w:cs="Times New Roman"/>
                <w:b/>
                <w:sz w:val="24"/>
                <w:szCs w:val="24"/>
              </w:rPr>
              <w:t>Propedeuticità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E" w:rsidRDefault="00835D27" w:rsidP="00B91A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 Economica</w:t>
            </w:r>
          </w:p>
        </w:tc>
      </w:tr>
      <w:tr w:rsidR="00701FDD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4B" w:rsidRPr="00B95E4B" w:rsidRDefault="00701FDD" w:rsidP="002F3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E" w:rsidRPr="00ED2342" w:rsidRDefault="002F316E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  <w:r w:rsidR="00835D27">
              <w:rPr>
                <w:rFonts w:ascii="Times New Roman" w:hAnsi="Times New Roman" w:cs="Times New Roman"/>
                <w:sz w:val="24"/>
                <w:szCs w:val="24"/>
              </w:rPr>
              <w:t xml:space="preserve"> Maria Gabriella Rienzo</w:t>
            </w:r>
          </w:p>
          <w:p w:rsidR="00835D27" w:rsidRDefault="002F316E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>Facoltà:</w:t>
            </w:r>
            <w:r w:rsidR="00835D27">
              <w:rPr>
                <w:rFonts w:ascii="Times New Roman" w:hAnsi="Times New Roman" w:cs="Times New Roman"/>
                <w:sz w:val="24"/>
                <w:szCs w:val="24"/>
              </w:rPr>
              <w:t xml:space="preserve"> Economia</w:t>
            </w:r>
          </w:p>
          <w:p w:rsidR="002F316E" w:rsidRPr="00ED2342" w:rsidRDefault="002F316E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>Nickname:</w:t>
            </w:r>
            <w:r w:rsidR="0083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D27">
              <w:rPr>
                <w:rFonts w:ascii="Times New Roman" w:hAnsi="Times New Roman" w:cs="Times New Roman"/>
                <w:sz w:val="24"/>
                <w:szCs w:val="24"/>
              </w:rPr>
              <w:t>gabriella.rienzo</w:t>
            </w:r>
            <w:proofErr w:type="spellEnd"/>
          </w:p>
          <w:p w:rsidR="002F316E" w:rsidRPr="00ED2342" w:rsidRDefault="002F316E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835D27">
              <w:rPr>
                <w:rFonts w:ascii="Times New Roman" w:hAnsi="Times New Roman" w:cs="Times New Roman"/>
                <w:sz w:val="24"/>
                <w:szCs w:val="24"/>
              </w:rPr>
              <w:t>gabriella.rienzo</w:t>
            </w:r>
            <w:proofErr w:type="spellEnd"/>
            <w:r w:rsidR="00835D27" w:rsidRPr="00ED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>@unicusano.it</w:t>
            </w:r>
          </w:p>
          <w:p w:rsidR="00701FDD" w:rsidRPr="00ED2342" w:rsidRDefault="002F316E" w:rsidP="002F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2">
              <w:rPr>
                <w:rFonts w:ascii="Times New Roman" w:hAnsi="Times New Roman" w:cs="Times New Roman"/>
                <w:sz w:val="24"/>
                <w:szCs w:val="24"/>
              </w:rPr>
              <w:t>Orario di ricevimento:</w:t>
            </w:r>
            <w:r w:rsidR="00835D27">
              <w:rPr>
                <w:rFonts w:ascii="Times New Roman" w:hAnsi="Times New Roman" w:cs="Times New Roman"/>
                <w:sz w:val="24"/>
                <w:szCs w:val="24"/>
              </w:rPr>
              <w:t xml:space="preserve"> mercoledì 13.30 - 15.00</w:t>
            </w:r>
          </w:p>
        </w:tc>
      </w:tr>
      <w:tr w:rsidR="00D87F64" w:rsidTr="00B2141E">
        <w:trPr>
          <w:trHeight w:val="357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40" w:rsidRPr="00221057" w:rsidRDefault="00D87F64" w:rsidP="00F51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</w:t>
            </w:r>
            <w:r w:rsidR="00687DE5">
              <w:rPr>
                <w:rFonts w:ascii="Times New Roman" w:hAnsi="Times New Roman" w:cs="Times New Roman"/>
                <w:b/>
                <w:sz w:val="24"/>
                <w:szCs w:val="24"/>
              </w:rPr>
              <w:t>formativi</w:t>
            </w:r>
            <w:r w:rsidR="00221057">
              <w:t xml:space="preserve"> </w:t>
            </w:r>
          </w:p>
          <w:p w:rsidR="00221057" w:rsidRPr="00221057" w:rsidRDefault="00221057" w:rsidP="0022105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F64" w:rsidRPr="00701FDD" w:rsidRDefault="00D87F64" w:rsidP="00687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28" w:rsidRPr="00F51C40" w:rsidRDefault="004749AE" w:rsidP="00F51C40">
            <w:pPr>
              <w:pStyle w:val="Titolo1"/>
              <w:rPr>
                <w:sz w:val="24"/>
                <w:szCs w:val="24"/>
              </w:rPr>
            </w:pPr>
            <w:r w:rsidRPr="00F51C40">
              <w:rPr>
                <w:color w:val="auto"/>
                <w:sz w:val="24"/>
                <w:szCs w:val="24"/>
              </w:rPr>
              <w:t>Obiettivi formativi:</w:t>
            </w:r>
            <w:r w:rsidRPr="00F51C40">
              <w:rPr>
                <w:b w:val="0"/>
                <w:color w:val="auto"/>
              </w:rPr>
              <w:t xml:space="preserve"> 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La Storia economica si configura come disciplina introduttiva ai contenuti della Facoltà di Economia e, come tale, si propone di fornire agli studenti le nozioni storiche di base, indispensabili per 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la conoscenza e la capacità di comprensione </w:t>
            </w:r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knowledge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understanding</w:t>
            </w:r>
            <w:proofErr w:type="spellEnd"/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delle principali tematiche economiche</w:t>
            </w:r>
            <w:r w:rsidRPr="00F51C40">
              <w:rPr>
                <w:b w:val="0"/>
                <w:color w:val="auto"/>
                <w:sz w:val="24"/>
                <w:szCs w:val="24"/>
              </w:rPr>
              <w:t>.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Tale </w:t>
            </w:r>
            <w:r w:rsidRPr="00F51C40">
              <w:rPr>
                <w:b w:val="0"/>
                <w:color w:val="auto"/>
                <w:sz w:val="24"/>
                <w:szCs w:val="24"/>
              </w:rPr>
              <w:t>conoscenza e capacità di comprensione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saranno anche applicate allo studio delle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metodologie necessarie per ricostruire e collocare nel contesto storico problemi ed eventi di rilevanza economica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applying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knowledge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understanding</w:t>
            </w:r>
            <w:proofErr w:type="spellEnd"/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51C40">
              <w:rPr>
                <w:b w:val="0"/>
                <w:color w:val="auto"/>
                <w:sz w:val="24"/>
                <w:szCs w:val="24"/>
              </w:rPr>
              <w:t>. Questa prospettiva consente di aiutare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gli studenti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a 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raggiungere autonomia di giudizio </w:t>
            </w:r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making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judgements</w:t>
            </w:r>
            <w:proofErr w:type="spellEnd"/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51C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F51C40">
              <w:rPr>
                <w:b w:val="0"/>
                <w:color w:val="auto"/>
                <w:sz w:val="24"/>
                <w:szCs w:val="24"/>
              </w:rPr>
              <w:t>nella c</w:t>
            </w:r>
            <w:r w:rsidRPr="00F51C40">
              <w:rPr>
                <w:b w:val="0"/>
                <w:color w:val="auto"/>
                <w:sz w:val="24"/>
                <w:szCs w:val="24"/>
              </w:rPr>
              <w:t>ompren</w:t>
            </w:r>
            <w:r w:rsidRPr="00F51C40">
              <w:rPr>
                <w:b w:val="0"/>
                <w:color w:val="auto"/>
                <w:sz w:val="24"/>
                <w:szCs w:val="24"/>
              </w:rPr>
              <w:t>sione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51C40">
              <w:rPr>
                <w:b w:val="0"/>
                <w:color w:val="auto"/>
                <w:sz w:val="24"/>
                <w:szCs w:val="24"/>
              </w:rPr>
              <w:t>del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la storia, </w:t>
            </w:r>
            <w:r w:rsidRPr="00F51C40">
              <w:rPr>
                <w:b w:val="0"/>
                <w:color w:val="auto"/>
                <w:sz w:val="24"/>
                <w:szCs w:val="24"/>
              </w:rPr>
              <w:t>del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l’economia e </w:t>
            </w:r>
            <w:r w:rsidRPr="00F51C40">
              <w:rPr>
                <w:b w:val="0"/>
                <w:color w:val="auto"/>
                <w:sz w:val="24"/>
                <w:szCs w:val="24"/>
              </w:rPr>
              <w:t>del</w:t>
            </w:r>
            <w:r w:rsidRPr="00F51C40">
              <w:rPr>
                <w:b w:val="0"/>
                <w:color w:val="auto"/>
                <w:sz w:val="24"/>
                <w:szCs w:val="24"/>
              </w:rPr>
              <w:t>la politica in un unico contesto comparativo</w:t>
            </w:r>
            <w:r w:rsidRPr="00F51C40">
              <w:rPr>
                <w:b w:val="0"/>
                <w:color w:val="auto"/>
                <w:sz w:val="24"/>
                <w:szCs w:val="24"/>
              </w:rPr>
              <w:t>,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nel quale tematiche generali come crescita economica, innovazione tecnologica, affermazione del mercato capitalistico, “mano visibile” dello stato, globalizzazione, troveranno una naturale contestualizzazione e storicizzazione.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Durante il corso sarà lasciato spazio, durante i forum di discussione e le aule virtuali</w:t>
            </w:r>
            <w:r w:rsidR="00E95DFA">
              <w:rPr>
                <w:b w:val="0"/>
                <w:color w:val="auto"/>
                <w:sz w:val="24"/>
                <w:szCs w:val="24"/>
              </w:rPr>
              <w:t>,</w:t>
            </w:r>
            <w:r w:rsidRPr="00F51C40">
              <w:rPr>
                <w:b w:val="0"/>
                <w:color w:val="auto"/>
                <w:sz w:val="24"/>
                <w:szCs w:val="24"/>
              </w:rPr>
              <w:t xml:space="preserve"> allo sviluppo delle personali abilità comunicative e capacità di apprendimento </w:t>
            </w:r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communication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learning</w:t>
            </w:r>
            <w:proofErr w:type="spellEnd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1C4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skills</w:t>
            </w:r>
            <w:proofErr w:type="spellEnd"/>
            <w:r w:rsidRPr="002210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51C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91ADE" w:rsidTr="00D33C0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E" w:rsidRPr="00701FDD" w:rsidRDefault="00B91ADE" w:rsidP="00D33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Prerequisiti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DE" w:rsidRPr="00DE0C16" w:rsidRDefault="00BF32A2" w:rsidP="00DE0C16">
            <w:pPr>
              <w:pStyle w:val="Default"/>
              <w:jc w:val="both"/>
              <w:rPr>
                <w:rFonts w:ascii="Times New Roman" w:hAnsi="Times New Roman" w:cs="Times New Roman"/>
                <w:spacing w:val="-2"/>
              </w:rPr>
            </w:pPr>
            <w:r w:rsidRPr="00DE0C16">
              <w:rPr>
                <w:rFonts w:ascii="Times New Roman" w:eastAsia="Times New Roman" w:hAnsi="Times New Roman" w:cs="Times New Roman"/>
                <w:bCs/>
              </w:rPr>
              <w:t>Conoscenza</w:t>
            </w:r>
            <w:r w:rsidRPr="00DE0C16">
              <w:rPr>
                <w:rFonts w:ascii="Times New Roman" w:eastAsia="Times New Roman" w:hAnsi="Times New Roman" w:cs="Times New Roman"/>
              </w:rPr>
              <w:t xml:space="preserve"> </w:t>
            </w:r>
            <w:r w:rsidR="00DE0C16" w:rsidRPr="00DE0C16">
              <w:rPr>
                <w:rFonts w:ascii="Times New Roman" w:eastAsia="Times New Roman" w:hAnsi="Times New Roman" w:cs="Times New Roman"/>
              </w:rPr>
              <w:t>delle prospettive e dei</w:t>
            </w:r>
            <w:r w:rsidRPr="00DE0C16">
              <w:rPr>
                <w:rFonts w:ascii="Times New Roman" w:eastAsia="Times New Roman" w:hAnsi="Times New Roman" w:cs="Times New Roman"/>
              </w:rPr>
              <w:t xml:space="preserve"> concetti</w:t>
            </w:r>
            <w:r w:rsidRPr="00DE0C16">
              <w:rPr>
                <w:rFonts w:ascii="Times New Roman" w:eastAsia="Times New Roman" w:hAnsi="Times New Roman" w:cs="Times New Roman"/>
              </w:rPr>
              <w:t xml:space="preserve"> storico-economici</w:t>
            </w:r>
            <w:r w:rsidRPr="00DE0C16">
              <w:rPr>
                <w:rFonts w:ascii="Times New Roman" w:eastAsia="Times New Roman" w:hAnsi="Times New Roman" w:cs="Times New Roman"/>
              </w:rPr>
              <w:t xml:space="preserve"> </w:t>
            </w:r>
            <w:r w:rsidR="00DE0C16" w:rsidRPr="00DE0C16">
              <w:rPr>
                <w:rFonts w:ascii="Times New Roman" w:eastAsia="Times New Roman" w:hAnsi="Times New Roman" w:cs="Times New Roman"/>
              </w:rPr>
              <w:t xml:space="preserve">di base e, soprattutto, delle principali </w:t>
            </w:r>
            <w:r w:rsidR="00DE0C16" w:rsidRPr="00DE0C16">
              <w:rPr>
                <w:rFonts w:ascii="Times New Roman" w:eastAsia="Times New Roman" w:hAnsi="Times New Roman" w:cs="Times New Roman"/>
              </w:rPr>
              <w:t>tematiche</w:t>
            </w:r>
            <w:r w:rsidR="00DE0C16" w:rsidRPr="00DE0C16">
              <w:rPr>
                <w:rFonts w:ascii="Times New Roman" w:eastAsia="Times New Roman" w:hAnsi="Times New Roman" w:cs="Times New Roman"/>
              </w:rPr>
              <w:t xml:space="preserve"> storiche e storiografiche inerenti lo sviluppo economico moderno</w:t>
            </w:r>
            <w:r w:rsidRPr="00DE0C16">
              <w:rPr>
                <w:rFonts w:ascii="Times New Roman" w:eastAsia="Times New Roman" w:hAnsi="Times New Roman" w:cs="Times New Roman"/>
              </w:rPr>
              <w:t xml:space="preserve">. Al riguardo, si consiglia di </w:t>
            </w:r>
            <w:r w:rsidR="00DE0C16" w:rsidRPr="00DE0C16">
              <w:rPr>
                <w:rFonts w:ascii="Times New Roman" w:eastAsia="Times New Roman" w:hAnsi="Times New Roman" w:cs="Times New Roman"/>
              </w:rPr>
              <w:t xml:space="preserve">consultare i principali </w:t>
            </w:r>
            <w:r w:rsidR="00DE0C16" w:rsidRPr="00DE0C16">
              <w:rPr>
                <w:rFonts w:ascii="Times New Roman" w:eastAsia="Times New Roman" w:hAnsi="Times New Roman" w:cs="Times New Roman"/>
              </w:rPr>
              <w:lastRenderedPageBreak/>
              <w:t>testi e le riviste scientifiche del settore</w:t>
            </w:r>
            <w:r w:rsidR="00DE0C16">
              <w:rPr>
                <w:rFonts w:ascii="Times New Roman" w:eastAsia="Times New Roman" w:hAnsi="Times New Roman" w:cs="Times New Roman"/>
              </w:rPr>
              <w:t>.</w:t>
            </w:r>
            <w:r w:rsidR="00B91ADE" w:rsidRPr="00DE0C16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D87F64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64" w:rsidRPr="00701FDD" w:rsidRDefault="00654DCA" w:rsidP="002D2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Contenuti </w:t>
            </w:r>
            <w:r w:rsidR="00D87F64"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>del corso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64" w:rsidRDefault="00E95DFA" w:rsidP="00A06121">
            <w:pPr>
              <w:pStyle w:val="Default"/>
              <w:rPr>
                <w:rFonts w:ascii="Times New Roman" w:hAnsi="Times New Roman" w:cs="Times New Roman"/>
              </w:rPr>
            </w:pPr>
            <w:r w:rsidRPr="00E353EC">
              <w:t>L’organizzazione del programma imposta l’insegnamento della Storia economica quale insegnamento “di base” nell’ambito della riforma degli ordinamenti didattici universitari, conferendole carattere formativo-caratterizzante. Il corso intende fornire uno spaccato dell’economia europea, sullo sfondo di un contesto internazionale, che attraversa i secoli XVIII, XIX e XX, affrontando le tematiche dello sviluppo economico moderno nell’ottica della sostanziale unità del processo. La prima parte del corso analizza le origini dello sviluppo economico in età moderna e contemporanea, passando in rassegna le vicende dell’economia mondiale nella transizione dal regime economico preindustriale a quello industriale. L’attenzione si sofferma soprattutto sull’economia europea, assumendo come punto di partenza la rivoluzione industriale in Inghilterra, per poi esaminare i diversi casi europei ed extra-europei di sviluppo industriale. Successivamente si segue l’impatto dell’industrializzazione sull’espansione dell’economia mondiale e i cambiamenti intervenuti nell’equilibrio internazionale delle potenze, nel corso del XX secolo. S’intende proporre un approccio temporale e tematico allo studio dello sviluppo economico che metta in risalto la specificità e la continuità del processo di sviluppo, legando i casi nazionali allo scenario internazionale e alla particolarità delle varie fasi storiche.</w:t>
            </w:r>
          </w:p>
        </w:tc>
      </w:tr>
      <w:tr w:rsidR="00D87F64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64" w:rsidRPr="00701FDD" w:rsidRDefault="00D87F64" w:rsidP="002D2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>Materiali di studio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CC" w:rsidRDefault="00284BCC" w:rsidP="00284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1B3E8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MATERIALI DIDATTICI A CURA DEL DOCENTE</w:t>
            </w:r>
          </w:p>
          <w:p w:rsidR="00284BCC" w:rsidRDefault="00284BCC" w:rsidP="00284B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tratti dal testo consigliato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:</w:t>
            </w:r>
            <w:r w:rsidRPr="00284B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84BCC" w:rsidRDefault="00284BCC" w:rsidP="00284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BCC" w:rsidRDefault="00284BCC" w:rsidP="0028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CC">
              <w:rPr>
                <w:rFonts w:ascii="Times New Roman" w:hAnsi="Times New Roman" w:cs="Times New Roman"/>
                <w:sz w:val="18"/>
                <w:szCs w:val="18"/>
              </w:rPr>
              <w:t xml:space="preserve">AA.VV., </w:t>
            </w:r>
            <w:r w:rsidRPr="00284B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Dall’espansione allo sviluppo. Una storia economica d’Europa</w:t>
            </w:r>
            <w:r w:rsidRPr="00284BCC">
              <w:rPr>
                <w:rFonts w:ascii="Times New Roman" w:hAnsi="Times New Roman" w:cs="Times New Roman"/>
                <w:sz w:val="18"/>
                <w:szCs w:val="18"/>
              </w:rPr>
              <w:t xml:space="preserve">, Torino, </w:t>
            </w:r>
            <w:proofErr w:type="spellStart"/>
            <w:r w:rsidRPr="00284BCC">
              <w:rPr>
                <w:rFonts w:ascii="Times New Roman" w:hAnsi="Times New Roman" w:cs="Times New Roman"/>
                <w:sz w:val="18"/>
                <w:szCs w:val="18"/>
              </w:rPr>
              <w:t>Giappichelli</w:t>
            </w:r>
            <w:proofErr w:type="spellEnd"/>
            <w:r w:rsidRPr="00284BCC">
              <w:rPr>
                <w:rFonts w:ascii="Times New Roman" w:hAnsi="Times New Roman" w:cs="Times New Roman"/>
                <w:sz w:val="18"/>
                <w:szCs w:val="18"/>
              </w:rPr>
              <w:t>, 2002.</w:t>
            </w:r>
          </w:p>
          <w:p w:rsidR="00D87F64" w:rsidRDefault="00D87F64" w:rsidP="0028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64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64" w:rsidRPr="00701FDD" w:rsidRDefault="00D87F64" w:rsidP="002D2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Metodi </w:t>
            </w:r>
            <w:r w:rsidR="002D25A0">
              <w:rPr>
                <w:rFonts w:ascii="Times New Roman" w:hAnsi="Times New Roman" w:cs="Times New Roman"/>
                <w:b/>
                <w:sz w:val="24"/>
                <w:szCs w:val="24"/>
              </w:rPr>
              <w:t>didattici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1" w:rsidRPr="001C2122" w:rsidRDefault="00011B61" w:rsidP="00011B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 corso è sviluppato attraverso le </w:t>
            </w:r>
            <w:r w:rsidRPr="00011B61">
              <w:rPr>
                <w:rFonts w:ascii="Times New Roman" w:eastAsia="Times New Roman" w:hAnsi="Times New Roman" w:cs="Times New Roman"/>
                <w:sz w:val="18"/>
                <w:szCs w:val="18"/>
              </w:rPr>
              <w:t>lezioni preregistrate audio-video che compongono, insieme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slide e dispense,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materiali di studio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disponibili in 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>piattaforma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11B61" w:rsidRPr="001C2122" w:rsidRDefault="00011B61" w:rsidP="00011B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Sono poi proposti de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11B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test di autovalutazione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>, di tipo asincrono, che corredano le lezioni preregistrate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consentono 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agli studenti di accertare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sia 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>la comprensione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sia 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 grado di conoscenza acquisita dei contenuti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>ognuna delle lezioni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C21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87F64" w:rsidRPr="007431C3" w:rsidRDefault="00011B61" w:rsidP="00011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didattica si avvale, inoltre, di </w:t>
            </w:r>
            <w:r w:rsidRPr="00011B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forum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(aule virtuali) e</w:t>
            </w:r>
            <w:r w:rsidRPr="00011B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disponibili in piattaforma che costituiscono uno 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spazio di discussione asincrono, dove i docenti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e/o i tutor individuan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>o i temi e gli argomenti più significativi dell’insegnamento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interagiscono con gli studenti iscritti.</w:t>
            </w:r>
          </w:p>
        </w:tc>
      </w:tr>
      <w:tr w:rsidR="00D87F64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4" w:rsidRPr="00701FDD" w:rsidRDefault="00D87F6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01FDD">
              <w:rPr>
                <w:rFonts w:ascii="Times New Roman" w:hAnsi="Times New Roman" w:cs="Times New Roman"/>
                <w:b/>
              </w:rPr>
              <w:t xml:space="preserve">Modalità di </w:t>
            </w:r>
            <w:r w:rsidR="002D25A0">
              <w:rPr>
                <w:rFonts w:ascii="Times New Roman" w:hAnsi="Times New Roman" w:cs="Times New Roman"/>
                <w:b/>
              </w:rPr>
              <w:t>verifica dell’</w:t>
            </w:r>
            <w:r w:rsidRPr="00701FDD">
              <w:rPr>
                <w:rFonts w:ascii="Times New Roman" w:hAnsi="Times New Roman" w:cs="Times New Roman"/>
                <w:b/>
              </w:rPr>
              <w:t>apprendimento</w:t>
            </w:r>
          </w:p>
          <w:p w:rsidR="00D87F64" w:rsidRDefault="00D8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11" w:rsidRPr="00A75D05" w:rsidRDefault="00546911" w:rsidP="005469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L’esame consiste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 norma nello svolgimento di una </w:t>
            </w:r>
            <w:r w:rsidRPr="005469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prova orale 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tendente ad accertare le capacità di analisi e rielab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orazione dei concetti acquisiti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546911" w:rsidRPr="00A75D05" w:rsidRDefault="00546911" w:rsidP="0054691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 w:rsidRPr="00ED2342">
              <w:rPr>
                <w:rFonts w:ascii="Times New Roman" w:eastAsia="Times New Roman" w:hAnsi="Times New Roman" w:cs="Times New Roman"/>
                <w:sz w:val="18"/>
                <w:szCs w:val="18"/>
              </w:rPr>
              <w:t>prova orale</w:t>
            </w:r>
            <w:r w:rsidRPr="00A75D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consiste in un tendente ad accertare il livello di preparazione dello studente.</w:t>
            </w:r>
          </w:p>
          <w:p w:rsidR="00F51D90" w:rsidRPr="00F51D90" w:rsidRDefault="00546911" w:rsidP="005469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 prova scritta è formulata in </w:t>
            </w:r>
            <w:r>
              <w:rPr>
                <w:rFonts w:ascii="Times New Roman" w:hAnsi="Times New Roman"/>
                <w:sz w:val="18"/>
                <w:szCs w:val="18"/>
              </w:rPr>
              <w:t>due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quesiti a risposta aperta e </w:t>
            </w:r>
            <w:r>
              <w:rPr>
                <w:rFonts w:ascii="Times New Roman" w:hAnsi="Times New Roman"/>
                <w:sz w:val="18"/>
                <w:szCs w:val="18"/>
              </w:rPr>
              <w:t>venti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quesiti a risposta </w:t>
            </w:r>
            <w:r>
              <w:rPr>
                <w:rFonts w:ascii="Times New Roman" w:hAnsi="Times New Roman"/>
                <w:sz w:val="18"/>
                <w:szCs w:val="18"/>
              </w:rPr>
              <w:t>multipla</w:t>
            </w:r>
            <w:r>
              <w:rPr>
                <w:rFonts w:ascii="Times New Roman" w:hAnsi="Times New Roman"/>
                <w:sz w:val="18"/>
                <w:szCs w:val="18"/>
              </w:rPr>
              <w:t>. I</w:t>
            </w:r>
            <w:r w:rsidRPr="00866E5B">
              <w:rPr>
                <w:rFonts w:ascii="Times New Roman" w:hAnsi="Times New Roman"/>
                <w:sz w:val="18"/>
                <w:szCs w:val="18"/>
              </w:rPr>
              <w:t>l punteggio attribuibile è massimo 8 punti per ogni domanda aper</w:t>
            </w:r>
            <w:r>
              <w:rPr>
                <w:rFonts w:ascii="Times New Roman" w:hAnsi="Times New Roman"/>
                <w:sz w:val="18"/>
                <w:szCs w:val="18"/>
              </w:rPr>
              <w:t>ta e 1 punto</w:t>
            </w:r>
            <w:r w:rsidRPr="00866E5B">
              <w:rPr>
                <w:rFonts w:ascii="Times New Roman" w:hAnsi="Times New Roman"/>
                <w:sz w:val="18"/>
                <w:szCs w:val="18"/>
              </w:rPr>
              <w:t xml:space="preserve"> per ogni </w:t>
            </w:r>
            <w:r>
              <w:rPr>
                <w:rFonts w:ascii="Times New Roman" w:hAnsi="Times New Roman"/>
                <w:sz w:val="18"/>
                <w:szCs w:val="18"/>
              </w:rPr>
              <w:t>risposta multipla</w:t>
            </w:r>
            <w:r w:rsidRPr="00866E5B">
              <w:rPr>
                <w:rFonts w:ascii="Times New Roman" w:hAnsi="Times New Roman"/>
                <w:sz w:val="18"/>
                <w:szCs w:val="18"/>
              </w:rPr>
              <w:t>.</w:t>
            </w:r>
            <w:r w:rsidRPr="00F51D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5A0" w:rsidTr="00701F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0" w:rsidRPr="00701FDD" w:rsidRDefault="002D25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Criteri per l’assegnazione dell’elaborato finale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A0" w:rsidRPr="00B2141E" w:rsidRDefault="00D709C5" w:rsidP="00D709C5">
            <w:pPr>
              <w:pStyle w:val="Default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L’assegnazione dell’</w:t>
            </w:r>
            <w:r w:rsidRPr="00D709C5">
              <w:rPr>
                <w:rFonts w:ascii="Times New Roman" w:eastAsia="Times New Roman" w:hAnsi="Times New Roman" w:cs="Times New Roman"/>
                <w:bCs/>
                <w:sz w:val="18"/>
              </w:rPr>
              <w:t>elaborato finale</w:t>
            </w:r>
            <w:r w:rsidRPr="00D709C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avverrà sulla base di un colloquio con il docente in cui lo studente manifesterà i propri specifici</w:t>
            </w:r>
            <w:r w:rsidRPr="00D709C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D709C5">
              <w:rPr>
                <w:rFonts w:ascii="Times New Roman" w:eastAsia="Times New Roman" w:hAnsi="Times New Roman" w:cs="Times New Roman"/>
                <w:bCs/>
                <w:sz w:val="18"/>
              </w:rPr>
              <w:t>interessi</w:t>
            </w:r>
            <w:r w:rsidRPr="001B3E8D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in relazione a qualche argomento che intende approfondire</w:t>
            </w:r>
            <w:r w:rsidR="009E2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(in genere di storia economica relativa al suo territorio di appartenenza)</w:t>
            </w: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; non esistono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D709C5">
              <w:rPr>
                <w:rFonts w:ascii="Times New Roman" w:eastAsia="Times New Roman" w:hAnsi="Times New Roman" w:cs="Times New Roman"/>
                <w:bCs/>
                <w:sz w:val="18"/>
              </w:rPr>
              <w:t>preclusioni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alla richiesta di assegnazione della tesi e non è prevista una</w:t>
            </w:r>
            <w:r w:rsidRPr="00D709C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D709C5">
              <w:rPr>
                <w:rFonts w:ascii="Times New Roman" w:eastAsia="Times New Roman" w:hAnsi="Times New Roman" w:cs="Times New Roman"/>
                <w:bCs/>
                <w:sz w:val="18"/>
              </w:rPr>
              <w:t>media particolare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B3E8D">
              <w:rPr>
                <w:rFonts w:ascii="Times New Roman" w:eastAsia="Times New Roman" w:hAnsi="Times New Roman" w:cs="Times New Roman"/>
                <w:sz w:val="18"/>
                <w:szCs w:val="18"/>
              </w:rPr>
              <w:t>per poterla richiedere.</w:t>
            </w:r>
          </w:p>
        </w:tc>
      </w:tr>
    </w:tbl>
    <w:p w:rsidR="007E69B5" w:rsidRDefault="007E69B5" w:rsidP="0025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B0" w:rsidRDefault="009E29B0" w:rsidP="009E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3E8D" w:rsidRPr="0025727E">
        <w:rPr>
          <w:rFonts w:ascii="Times New Roman" w:hAnsi="Times New Roman" w:cs="Times New Roman"/>
          <w:sz w:val="24"/>
          <w:szCs w:val="24"/>
        </w:rPr>
        <w:t>l programma d’esa</w:t>
      </w:r>
      <w:r>
        <w:rPr>
          <w:rFonts w:ascii="Times New Roman" w:hAnsi="Times New Roman" w:cs="Times New Roman"/>
          <w:sz w:val="24"/>
          <w:szCs w:val="24"/>
        </w:rPr>
        <w:t>me si articola in 27 lezioni, ciascuna composta di due moduli, sui seguenti argomenti:</w:t>
      </w:r>
    </w:p>
    <w:p w:rsidR="009E29B0" w:rsidRDefault="009E29B0" w:rsidP="009E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B0" w:rsidRDefault="009E29B0" w:rsidP="009E29B0">
      <w:pPr>
        <w:rPr>
          <w:rStyle w:val="tcorpotesto1"/>
          <w:rFonts w:ascii="Times New Roman" w:hAnsi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–Tra espansione e sviluppo economico nell’Europa del XVIII secolo.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I. Nuove prospettive sulla modernizzazione economica e le molte strade percorse dall’Europa verso il XX secolo.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II. Lo sviluppo economico europeo nel XVIII secolo: i temi centrali.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III. L’Europa agraria 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IV. La Rivoluzione demografica.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V. La crescita del commercio.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VI. Le industrie e le manifatture.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VII. Il ruolo dello Stato.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VIII. L’era napoleonica. </w:t>
      </w:r>
    </w:p>
    <w:p w:rsidR="009E29B0" w:rsidRPr="009E29B0" w:rsidRDefault="009E29B0" w:rsidP="009E29B0">
      <w:pPr>
        <w:pStyle w:val="Paragrafoelenco"/>
        <w:numPr>
          <w:ilvl w:val="0"/>
          <w:numId w:val="8"/>
        </w:numPr>
        <w:rPr>
          <w:rStyle w:val="tcorpotesto1"/>
          <w:rFonts w:ascii="Times New Roman" w:hAnsi="Times New Roman" w:cs="Times New Roman"/>
          <w:sz w:val="24"/>
          <w:szCs w:val="24"/>
        </w:rPr>
      </w:pPr>
      <w:r w:rsidRPr="009E29B0">
        <w:rPr>
          <w:rStyle w:val="tcorpotesto1"/>
          <w:rFonts w:ascii="Times New Roman" w:hAnsi="Times New Roman" w:cs="Times New Roman"/>
          <w:sz w:val="24"/>
          <w:szCs w:val="24"/>
        </w:rPr>
        <w:t xml:space="preserve">Lo sviluppo economico nell’Europa del XIX secolo.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I. Crescita e trasformazione dell’economia europea.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II. Dinamiche demografiche e mutamento sociale. Il ruolo dell’agricoltura.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III. Il processo di industrializzazione europea.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IV. La rivoluzione nei trasporti e nelle comunicazioni.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V. Scambi internazionali e sistemi monetari. </w:t>
      </w:r>
    </w:p>
    <w:p w:rsidR="009E29B0" w:rsidRPr="009E29B0" w:rsidRDefault="009E29B0" w:rsidP="009E29B0">
      <w:pPr>
        <w:pStyle w:val="Paragrafoelenco"/>
        <w:numPr>
          <w:ilvl w:val="0"/>
          <w:numId w:val="8"/>
        </w:numPr>
        <w:rPr>
          <w:rStyle w:val="tcorpotesto1"/>
          <w:rFonts w:ascii="Times New Roman" w:hAnsi="Times New Roman" w:cs="Times New Roman"/>
          <w:sz w:val="24"/>
          <w:szCs w:val="24"/>
        </w:rPr>
      </w:pPr>
      <w:r w:rsidRPr="009E29B0">
        <w:rPr>
          <w:rStyle w:val="tcorpotesto1"/>
          <w:rFonts w:ascii="Times New Roman" w:hAnsi="Times New Roman" w:cs="Times New Roman"/>
          <w:sz w:val="24"/>
          <w:szCs w:val="24"/>
        </w:rPr>
        <w:t xml:space="preserve">Il XX secolo, tra rottura e prosperità.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Il punto di partenza.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I. Crescita e trasformazione dell’economia.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II. Le grandi tappe.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lastRenderedPageBreak/>
        <w:t xml:space="preserve">– III. Le politiche economiche e sociali.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 xml:space="preserve">– Europa 2000-2010. </w:t>
      </w:r>
    </w:p>
    <w:p w:rsidR="009E29B0" w:rsidRDefault="009E29B0" w:rsidP="009E29B0">
      <w:pPr>
        <w:rPr>
          <w:rStyle w:val="tcorpotesto1"/>
          <w:rFonts w:ascii="Times New Roman" w:hAnsi="Times New Roman" w:cs="Times New Roman"/>
          <w:sz w:val="24"/>
          <w:szCs w:val="24"/>
        </w:rPr>
      </w:pPr>
      <w:r>
        <w:rPr>
          <w:rStyle w:val="tcorpotesto1"/>
          <w:rFonts w:ascii="Times New Roman" w:hAnsi="Times New Roman" w:cs="Times New Roman"/>
          <w:sz w:val="24"/>
          <w:szCs w:val="24"/>
        </w:rPr>
        <w:t>– Bibliografia.</w:t>
      </w:r>
    </w:p>
    <w:p w:rsidR="007E69B5" w:rsidRDefault="007E69B5" w:rsidP="00B54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69B5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48" w:rsidRDefault="00107448" w:rsidP="00241599">
      <w:pPr>
        <w:spacing w:after="0" w:line="240" w:lineRule="auto"/>
      </w:pPr>
      <w:r>
        <w:separator/>
      </w:r>
    </w:p>
  </w:endnote>
  <w:endnote w:type="continuationSeparator" w:id="0">
    <w:p w:rsidR="00107448" w:rsidRDefault="00107448" w:rsidP="002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8897"/>
      <w:docPartObj>
        <w:docPartGallery w:val="Page Numbers (Bottom of Page)"/>
        <w:docPartUnique/>
      </w:docPartObj>
    </w:sdtPr>
    <w:sdtEndPr/>
    <w:sdtContent>
      <w:p w:rsidR="00241599" w:rsidRDefault="0010744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9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48" w:rsidRDefault="00107448" w:rsidP="00241599">
      <w:pPr>
        <w:spacing w:after="0" w:line="240" w:lineRule="auto"/>
      </w:pPr>
      <w:r>
        <w:separator/>
      </w:r>
    </w:p>
  </w:footnote>
  <w:footnote w:type="continuationSeparator" w:id="0">
    <w:p w:rsidR="00107448" w:rsidRDefault="00107448" w:rsidP="0024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73"/>
    <w:multiLevelType w:val="hybridMultilevel"/>
    <w:tmpl w:val="3D625398"/>
    <w:lvl w:ilvl="0" w:tplc="5C66535A">
      <w:start w:val="9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1031"/>
    <w:multiLevelType w:val="multilevel"/>
    <w:tmpl w:val="D3F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086C"/>
    <w:multiLevelType w:val="multilevel"/>
    <w:tmpl w:val="89F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DD"/>
    <w:rsid w:val="00005CF9"/>
    <w:rsid w:val="00011B61"/>
    <w:rsid w:val="000902A9"/>
    <w:rsid w:val="000C638D"/>
    <w:rsid w:val="000E7B69"/>
    <w:rsid w:val="00107448"/>
    <w:rsid w:val="00121165"/>
    <w:rsid w:val="001674B1"/>
    <w:rsid w:val="00191C43"/>
    <w:rsid w:val="001B3E8D"/>
    <w:rsid w:val="001B7C47"/>
    <w:rsid w:val="001C2122"/>
    <w:rsid w:val="001F1E3E"/>
    <w:rsid w:val="00215711"/>
    <w:rsid w:val="00221057"/>
    <w:rsid w:val="00222524"/>
    <w:rsid w:val="00241599"/>
    <w:rsid w:val="0025727E"/>
    <w:rsid w:val="00284BCC"/>
    <w:rsid w:val="002B2678"/>
    <w:rsid w:val="002D25A0"/>
    <w:rsid w:val="002D6A0B"/>
    <w:rsid w:val="002F316E"/>
    <w:rsid w:val="003B47FB"/>
    <w:rsid w:val="003B53E2"/>
    <w:rsid w:val="003B72BF"/>
    <w:rsid w:val="003D4E1E"/>
    <w:rsid w:val="004749AE"/>
    <w:rsid w:val="004A339D"/>
    <w:rsid w:val="004A3445"/>
    <w:rsid w:val="004D2799"/>
    <w:rsid w:val="00503AE4"/>
    <w:rsid w:val="00546911"/>
    <w:rsid w:val="0056480D"/>
    <w:rsid w:val="00594FDE"/>
    <w:rsid w:val="0060209C"/>
    <w:rsid w:val="00654DCA"/>
    <w:rsid w:val="00657CDB"/>
    <w:rsid w:val="00663F1B"/>
    <w:rsid w:val="0066660C"/>
    <w:rsid w:val="00687DE5"/>
    <w:rsid w:val="00701FDD"/>
    <w:rsid w:val="007431C3"/>
    <w:rsid w:val="0077237A"/>
    <w:rsid w:val="00774FE7"/>
    <w:rsid w:val="00784A51"/>
    <w:rsid w:val="007C7E18"/>
    <w:rsid w:val="007D1E3D"/>
    <w:rsid w:val="007E69B5"/>
    <w:rsid w:val="007F3AB6"/>
    <w:rsid w:val="00825F74"/>
    <w:rsid w:val="00835D27"/>
    <w:rsid w:val="008A2DE1"/>
    <w:rsid w:val="008D2A4E"/>
    <w:rsid w:val="00912343"/>
    <w:rsid w:val="0099486E"/>
    <w:rsid w:val="009C2675"/>
    <w:rsid w:val="009E29B0"/>
    <w:rsid w:val="00A003D4"/>
    <w:rsid w:val="00A06121"/>
    <w:rsid w:val="00A26D13"/>
    <w:rsid w:val="00A7046E"/>
    <w:rsid w:val="00A75D05"/>
    <w:rsid w:val="00A82C55"/>
    <w:rsid w:val="00AF4B08"/>
    <w:rsid w:val="00B13017"/>
    <w:rsid w:val="00B2141E"/>
    <w:rsid w:val="00B253CE"/>
    <w:rsid w:val="00B35ADF"/>
    <w:rsid w:val="00B54DE6"/>
    <w:rsid w:val="00B57EA1"/>
    <w:rsid w:val="00B91ADE"/>
    <w:rsid w:val="00B95E4B"/>
    <w:rsid w:val="00BD64C4"/>
    <w:rsid w:val="00BF32A2"/>
    <w:rsid w:val="00C10790"/>
    <w:rsid w:val="00C30E32"/>
    <w:rsid w:val="00C728BB"/>
    <w:rsid w:val="00D34EDF"/>
    <w:rsid w:val="00D709C5"/>
    <w:rsid w:val="00D87F64"/>
    <w:rsid w:val="00DA3142"/>
    <w:rsid w:val="00DE0C16"/>
    <w:rsid w:val="00DE26CD"/>
    <w:rsid w:val="00DE7D49"/>
    <w:rsid w:val="00DF032F"/>
    <w:rsid w:val="00E10119"/>
    <w:rsid w:val="00E10663"/>
    <w:rsid w:val="00E54E2A"/>
    <w:rsid w:val="00E86A28"/>
    <w:rsid w:val="00E95DFA"/>
    <w:rsid w:val="00EA7C1F"/>
    <w:rsid w:val="00ED2342"/>
    <w:rsid w:val="00F362E0"/>
    <w:rsid w:val="00F502FB"/>
    <w:rsid w:val="00F51C40"/>
    <w:rsid w:val="00F51D90"/>
    <w:rsid w:val="00F5729A"/>
    <w:rsid w:val="00F76645"/>
    <w:rsid w:val="00F927E2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DD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corpotesto1">
    <w:name w:val="tcorpotesto1"/>
    <w:basedOn w:val="Carpredefinitoparagrafo"/>
    <w:rsid w:val="004749AE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FDD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corpotesto1">
    <w:name w:val="tcorpotesto1"/>
    <w:basedOn w:val="Carpredefinitoparagrafo"/>
    <w:rsid w:val="004749AE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9C42-FB1C-4080-A51A-3B44655D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Gabriella Rienzo</cp:lastModifiedBy>
  <cp:revision>11</cp:revision>
  <cp:lastPrinted>2015-08-06T15:36:00Z</cp:lastPrinted>
  <dcterms:created xsi:type="dcterms:W3CDTF">2016-04-01T12:06:00Z</dcterms:created>
  <dcterms:modified xsi:type="dcterms:W3CDTF">2016-04-01T12:47:00Z</dcterms:modified>
</cp:coreProperties>
</file>