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95"/>
      </w:tblGrid>
      <w:tr w:rsidR="00DF4C74" w:rsidRPr="00FC7C4F" w14:paraId="05C9601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65D7A0" w14:textId="77777777" w:rsidR="00DF4C74" w:rsidRPr="00FC7C4F" w:rsidRDefault="00DF4C74" w:rsidP="0090273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DE2FA" w14:textId="0FA99B44" w:rsidR="00DF4C74" w:rsidRPr="00FC7C4F" w:rsidRDefault="00FC7C4F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Sociologia delle migrazioni e delle relazioni interculturali</w:t>
            </w:r>
          </w:p>
        </w:tc>
      </w:tr>
      <w:tr w:rsidR="00DF4C74" w:rsidRPr="00FC7C4F" w14:paraId="52B32C4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978594E" w14:textId="77777777" w:rsidR="00DF4C74" w:rsidRPr="00FC7C4F" w:rsidRDefault="00DF4C74" w:rsidP="0090273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Livello e corso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6BDFC" w14:textId="2ED7FF14" w:rsidR="00DF4C74" w:rsidRPr="00FC7C4F" w:rsidRDefault="00FC7C4F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i/>
                <w:sz w:val="22"/>
                <w:szCs w:val="22"/>
              </w:rPr>
              <w:t>LM 88; LM52</w:t>
            </w:r>
          </w:p>
        </w:tc>
      </w:tr>
      <w:tr w:rsidR="00DF4C74" w:rsidRPr="00FC7C4F" w14:paraId="2E86ECF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B7C2A4" w14:textId="77777777" w:rsidR="00DF4C74" w:rsidRPr="00FC7C4F" w:rsidRDefault="00DF4C74" w:rsidP="0090273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Settore scientifico disciplinare (SSD)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F5A8" w14:textId="1A3E85C9" w:rsidR="00DF4C74" w:rsidRPr="00FC7C4F" w:rsidRDefault="00FC7C4F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SPS/07 SPS/10</w:t>
            </w:r>
          </w:p>
        </w:tc>
      </w:tr>
      <w:tr w:rsidR="00DF4C74" w:rsidRPr="00FC7C4F" w14:paraId="0DBF222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3DD61D" w14:textId="77777777" w:rsidR="00DF4C74" w:rsidRPr="00FC7C4F" w:rsidRDefault="00DF4C74" w:rsidP="0090273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Anno di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BDF38" w14:textId="19C6F7E9" w:rsidR="00DF4C74" w:rsidRPr="00FC7C4F" w:rsidRDefault="00FC7C4F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i/>
                <w:sz w:val="22"/>
                <w:szCs w:val="22"/>
              </w:rPr>
              <w:t>202</w:t>
            </w:r>
            <w:r w:rsidR="0023022B"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 w:rsidRPr="00FC7C4F">
              <w:rPr>
                <w:rFonts w:asciiTheme="minorHAnsi" w:hAnsiTheme="minorHAnsi"/>
                <w:i/>
                <w:sz w:val="22"/>
                <w:szCs w:val="22"/>
              </w:rPr>
              <w:t>/202</w:t>
            </w:r>
            <w:r w:rsidR="0023022B"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</w:tr>
      <w:tr w:rsidR="00DF4C74" w:rsidRPr="00FC7C4F" w14:paraId="1E2985A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8E6F49" w14:textId="77777777" w:rsidR="00DF4C74" w:rsidRPr="00FC7C4F" w:rsidRDefault="00DF4C74" w:rsidP="0090273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Numero totale di crediti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02F0C" w14:textId="6168BC7B" w:rsidR="00DF4C74" w:rsidRPr="00FC7C4F" w:rsidRDefault="00FC7C4F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DF4C74" w:rsidRPr="00FC7C4F" w14:paraId="319F2618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9F9042D" w14:textId="77777777" w:rsidR="00DF4C74" w:rsidRPr="00FC7C4F" w:rsidRDefault="00DF4C74" w:rsidP="0090273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Propedeuticità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0825" w14:textId="11F7D51F" w:rsidR="00DF4C74" w:rsidRPr="00FC7C4F" w:rsidRDefault="00FC7C4F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Per gli studenti di LM88 aver superato l’esame di Sociologia Generale</w:t>
            </w:r>
          </w:p>
        </w:tc>
      </w:tr>
      <w:tr w:rsidR="00DF4C74" w:rsidRPr="00FC7C4F" w14:paraId="5CADA67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853877" w14:textId="77777777" w:rsidR="00DF4C74" w:rsidRPr="00FC7C4F" w:rsidRDefault="00DF4C74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ED40D97" w14:textId="77777777" w:rsidR="00DF4C74" w:rsidRPr="00FC7C4F" w:rsidRDefault="00DF4C74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Docente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ABB33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Chiara Carbone</w:t>
            </w:r>
          </w:p>
          <w:p w14:paraId="0CFC70E4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Facoltà: Sociologia</w:t>
            </w:r>
          </w:p>
          <w:p w14:paraId="4B839ABE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 xml:space="preserve">Nickname: </w:t>
            </w:r>
          </w:p>
          <w:p w14:paraId="12D4428B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C7C4F">
              <w:rPr>
                <w:rFonts w:asciiTheme="minorHAnsi" w:hAnsiTheme="minorHAnsi"/>
                <w:sz w:val="22"/>
                <w:szCs w:val="22"/>
              </w:rPr>
              <w:t>Email</w:t>
            </w:r>
            <w:proofErr w:type="gramEnd"/>
            <w:r w:rsidRPr="00FC7C4F">
              <w:rPr>
                <w:rFonts w:asciiTheme="minorHAnsi" w:hAnsiTheme="minorHAnsi"/>
                <w:sz w:val="22"/>
                <w:szCs w:val="22"/>
              </w:rPr>
              <w:t>: chiara.carbone@unicusano.it</w:t>
            </w:r>
          </w:p>
          <w:p w14:paraId="67D47587" w14:textId="740987F7" w:rsidR="001857BA" w:rsidRPr="00FC7C4F" w:rsidRDefault="00FC7C4F" w:rsidP="00FC7C4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 xml:space="preserve">Orario di ricevimento: Consultare la bacheca </w:t>
            </w:r>
          </w:p>
        </w:tc>
      </w:tr>
      <w:tr w:rsidR="00DF4C74" w:rsidRPr="00FC7C4F" w14:paraId="377386C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D71432" w14:textId="77777777" w:rsidR="00DF4C74" w:rsidRPr="00FC7C4F" w:rsidRDefault="00DF4C74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Presentazione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0F5D3" w14:textId="005223EF" w:rsidR="00DF4C74" w:rsidRPr="00FC7C4F" w:rsidRDefault="00FC7C4F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Il corso di sociologia delle migrazioni e delle relazioni interculturali ha lo scopo di far acquisire allo studente una conoscenza più esaustiva dei fenomeni migratori attraverso lo studio di alcuni concetti chiave, quali strumenti agili e utili a comprendere la complessità della mobilità umana. Il corso propone i paradigmi e le teorie fondamentali della sociologia delle migrazioni e delle relazioni interculturali, considerando i flussi migratori come dei fatti sociali totali e globali che attraversano la nostra società e che mettono in discussione le definizioni di convivenza e di confine nazionale. Inoltre, obbiettivo formativo del corso è fornire lo studente di una conoscenza dei modelli interpretativi del fenomeno e dell’impatto sociale e culturale sulle società ospitanti con un particolare focus sul Mediterraneo e sul Pacifico.</w:t>
            </w:r>
          </w:p>
        </w:tc>
      </w:tr>
      <w:tr w:rsidR="00DF4C74" w:rsidRPr="00FC7C4F" w14:paraId="20D7190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05718D" w14:textId="77777777" w:rsidR="00DF4C74" w:rsidRPr="00FC7C4F" w:rsidRDefault="00DF4C74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 xml:space="preserve">Obiettivi formativi 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D5B6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Il corso di sociologia delle migrazioni e delle relazioni interculturali ha i seguenti obiettivi formativi:</w:t>
            </w:r>
          </w:p>
          <w:p w14:paraId="7B9998C8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871FA0" w14:textId="77777777" w:rsidR="00FC7C4F" w:rsidRPr="00FC7C4F" w:rsidRDefault="00FC7C4F" w:rsidP="00FC7C4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Fornire le conoscenze basilari (concetti chiave e modelli) della sociologia delle migrazioni e delle relazioni interculturali</w:t>
            </w:r>
          </w:p>
          <w:p w14:paraId="30D5176A" w14:textId="77777777" w:rsidR="00FC7C4F" w:rsidRPr="00FC7C4F" w:rsidRDefault="00FC7C4F" w:rsidP="00FC7C4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Fornire gli strumenti per analizzare le implicazioni sociali e culturali dei flussi migratori e il loro impatto nelle relazioni umane</w:t>
            </w:r>
          </w:p>
          <w:p w14:paraId="165836AA" w14:textId="77777777" w:rsidR="00FC7C4F" w:rsidRPr="00FC7C4F" w:rsidRDefault="00FC7C4F" w:rsidP="00FC7C4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Dotare gli studenti di capacità di analisi critica del fenomeno migratorio, decostruendo stereotipi e pregiudizi</w:t>
            </w:r>
          </w:p>
          <w:p w14:paraId="17A2EFE5" w14:textId="77777777" w:rsidR="00DF4C74" w:rsidRPr="00FC7C4F" w:rsidRDefault="00FC7C4F" w:rsidP="00FC7C4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Dotare gli studenti di strumenti agili per comprendere i livelli di oppressione delle migrazioni forzate</w:t>
            </w:r>
          </w:p>
          <w:p w14:paraId="7F367286" w14:textId="77777777" w:rsidR="00FC7C4F" w:rsidRPr="00FC7C4F" w:rsidRDefault="00FC7C4F" w:rsidP="00FC7C4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Avere conoscenza della normativa riguardo le migrazioni;</w:t>
            </w:r>
          </w:p>
          <w:p w14:paraId="0305BF67" w14:textId="77777777" w:rsidR="00FC7C4F" w:rsidRPr="00FC7C4F" w:rsidRDefault="00FC7C4F" w:rsidP="00FC7C4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Comprendere le migrazioni migrazioni come fenomeno strutturale;</w:t>
            </w:r>
          </w:p>
          <w:p w14:paraId="424C7918" w14:textId="77777777" w:rsidR="00FC7C4F" w:rsidRPr="00FC7C4F" w:rsidRDefault="00FC7C4F" w:rsidP="00FC7C4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Fornire agli studenti gli strumenti metodologici più adatti per indagare sulle migrazioni;</w:t>
            </w:r>
          </w:p>
          <w:p w14:paraId="2F7118F4" w14:textId="48F8D1DD" w:rsidR="00FC7C4F" w:rsidRPr="00FC7C4F" w:rsidRDefault="00FC7C4F" w:rsidP="00FC7C4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Conoscere il sistema dell’accoglienza italiano, con particolare riferimento a richiedenti asilo e rifugiati</w:t>
            </w:r>
          </w:p>
        </w:tc>
      </w:tr>
      <w:tr w:rsidR="00DF4C74" w:rsidRPr="00FC7C4F" w14:paraId="508FD17E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6E86AA6" w14:textId="0ACE750C" w:rsidR="00DF4C74" w:rsidRPr="00FC7C4F" w:rsidRDefault="00DF4C74" w:rsidP="0090273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lastRenderedPageBreak/>
              <w:t>Prerequisiti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28688" w14:textId="41BEA521" w:rsidR="001857BA" w:rsidRPr="00FC7C4F" w:rsidRDefault="00FC7C4F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Anche se non vi sono prerequisiti obbligatori, è necessario avere acquisiti i fondamenti e i concetti della sociologia e alcune nozioni di antropologia culturale.</w:t>
            </w:r>
          </w:p>
        </w:tc>
      </w:tr>
      <w:tr w:rsidR="00DF4C74" w:rsidRPr="00FC7C4F" w14:paraId="2552E4D0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864B08E" w14:textId="77777777" w:rsidR="00DF4C74" w:rsidRPr="00FC7C4F" w:rsidRDefault="00DF4C74" w:rsidP="0090273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Risultati di apprendimento attesi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1F272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433BA6">
              <w:rPr>
                <w:rFonts w:asciiTheme="minorHAnsi" w:hAnsiTheme="minorHAnsi"/>
                <w:b/>
                <w:sz w:val="22"/>
                <w:szCs w:val="22"/>
              </w:rPr>
              <w:t>Competenze fornite dal corso allo studente declinati secondo i descrittori di Dublino:</w:t>
            </w:r>
            <w:r w:rsidRPr="00433BA6">
              <w:rPr>
                <w:rFonts w:asciiTheme="minorHAnsi" w:hAnsiTheme="minorHAnsi"/>
                <w:sz w:val="22"/>
                <w:szCs w:val="22"/>
              </w:rPr>
              <w:t xml:space="preserve"> • Conoscenza e comprensione </w:t>
            </w:r>
          </w:p>
          <w:p w14:paraId="438EEE75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433BA6">
              <w:rPr>
                <w:rFonts w:asciiTheme="minorHAnsi" w:hAnsiTheme="minorHAnsi"/>
                <w:sz w:val="22"/>
                <w:szCs w:val="22"/>
              </w:rPr>
              <w:t xml:space="preserve">• Capacità di applicare conoscenza e comprensione </w:t>
            </w:r>
          </w:p>
          <w:p w14:paraId="5D5EDFAF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433BA6">
              <w:rPr>
                <w:rFonts w:asciiTheme="minorHAnsi" w:hAnsiTheme="minorHAnsi"/>
                <w:sz w:val="22"/>
                <w:szCs w:val="22"/>
              </w:rPr>
              <w:t xml:space="preserve">• Autonomia di giudizio </w:t>
            </w:r>
          </w:p>
          <w:p w14:paraId="1BB82CF8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433BA6">
              <w:rPr>
                <w:rFonts w:asciiTheme="minorHAnsi" w:hAnsiTheme="minorHAnsi"/>
                <w:sz w:val="22"/>
                <w:szCs w:val="22"/>
              </w:rPr>
              <w:t xml:space="preserve">• Abilità comunicative </w:t>
            </w:r>
          </w:p>
          <w:p w14:paraId="03A1EB42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433BA6">
              <w:rPr>
                <w:rFonts w:asciiTheme="minorHAnsi" w:hAnsiTheme="minorHAnsi"/>
                <w:sz w:val="22"/>
                <w:szCs w:val="22"/>
              </w:rPr>
              <w:t xml:space="preserve">• Capacità di apprendimento </w:t>
            </w:r>
          </w:p>
          <w:p w14:paraId="7C723579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CAE930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433BA6">
              <w:rPr>
                <w:rFonts w:asciiTheme="minorHAnsi" w:hAnsiTheme="minorHAnsi"/>
                <w:sz w:val="22"/>
                <w:szCs w:val="22"/>
              </w:rPr>
              <w:t xml:space="preserve">Il corso, che fa parte della Laurea triennale, prevede principalmente lo sviluppo delle prime due competenze e mira a porre le basi per lo sviluppo delle altre tre competenze. </w:t>
            </w:r>
          </w:p>
          <w:p w14:paraId="0460C8B5" w14:textId="77777777" w:rsidR="00FC7C4F" w:rsidRPr="00FC7C4F" w:rsidRDefault="00FC7C4F" w:rsidP="00FC7C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3BA6">
              <w:rPr>
                <w:rFonts w:asciiTheme="minorHAnsi" w:hAnsiTheme="minorHAnsi"/>
                <w:b/>
                <w:sz w:val="22"/>
                <w:szCs w:val="22"/>
              </w:rPr>
              <w:t xml:space="preserve">Conoscenza e capacità di comprensione </w:t>
            </w:r>
          </w:p>
          <w:p w14:paraId="10007B62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8A17D8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433BA6">
              <w:rPr>
                <w:rFonts w:asciiTheme="minorHAnsi" w:hAnsiTheme="minorHAnsi"/>
                <w:sz w:val="22"/>
                <w:szCs w:val="22"/>
              </w:rPr>
              <w:t xml:space="preserve"> Lo studente al termine del Corso avrà acquisito conoscenza sugli argomenti principali 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>della sociologia delle migrazioni</w:t>
            </w:r>
            <w:r w:rsidRPr="00433BA6">
              <w:rPr>
                <w:rFonts w:asciiTheme="minorHAnsi" w:hAnsiTheme="minorHAnsi"/>
                <w:sz w:val="22"/>
                <w:szCs w:val="22"/>
              </w:rPr>
              <w:t xml:space="preserve">, ivi delle dinamiche </w:t>
            </w:r>
            <w:proofErr w:type="gramStart"/>
            <w:r w:rsidRPr="00433BA6">
              <w:rPr>
                <w:rFonts w:asciiTheme="minorHAnsi" w:hAnsiTheme="minorHAnsi"/>
                <w:sz w:val="22"/>
                <w:szCs w:val="22"/>
              </w:rPr>
              <w:t>socio-culturali</w:t>
            </w:r>
            <w:proofErr w:type="gramEnd"/>
            <w:r w:rsidRPr="00433BA6">
              <w:rPr>
                <w:rFonts w:asciiTheme="minorHAnsi" w:hAnsiTheme="minorHAnsi"/>
                <w:sz w:val="22"/>
                <w:szCs w:val="22"/>
              </w:rPr>
              <w:t xml:space="preserve"> in corso e dei processi di interazione/integrazione sociale nelle odierne società multiculturali. Lo studente imparerà metodi per l’analisi degli argomenti trattati. Inoltre, tramite le </w:t>
            </w:r>
            <w:proofErr w:type="spellStart"/>
            <w:r w:rsidRPr="00433BA6">
              <w:rPr>
                <w:rFonts w:asciiTheme="minorHAnsi" w:hAnsiTheme="minorHAnsi"/>
                <w:sz w:val="22"/>
                <w:szCs w:val="22"/>
              </w:rPr>
              <w:t>Etivity</w:t>
            </w:r>
            <w:proofErr w:type="spellEnd"/>
            <w:r w:rsidRPr="00433BA6">
              <w:rPr>
                <w:rFonts w:asciiTheme="minorHAnsi" w:hAnsiTheme="minorHAnsi"/>
                <w:sz w:val="22"/>
                <w:szCs w:val="22"/>
              </w:rPr>
              <w:t xml:space="preserve"> gli studenti acquisiranno gli strumenti per una comprensione sociologica dei processi culturali odierni e per rielaborarli in maniera critica. </w:t>
            </w:r>
          </w:p>
          <w:p w14:paraId="35C1B0FB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433BA6">
              <w:rPr>
                <w:rFonts w:asciiTheme="minorHAnsi" w:hAnsiTheme="minorHAnsi"/>
                <w:b/>
                <w:sz w:val="22"/>
                <w:szCs w:val="22"/>
              </w:rPr>
              <w:t>Applicazione delle conoscenze</w:t>
            </w:r>
            <w:r w:rsidRPr="00433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2AF5C3B" w14:textId="77777777" w:rsidR="00FC7C4F" w:rsidRPr="00433BA6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433BA6">
              <w:rPr>
                <w:rFonts w:asciiTheme="minorHAnsi" w:hAnsiTheme="minorHAnsi"/>
                <w:sz w:val="22"/>
                <w:szCs w:val="22"/>
              </w:rPr>
              <w:t>Lo studente sarà in grado di utilizzare la conoscenza s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>ociologica per l’analisi delle migrazioni e</w:t>
            </w:r>
            <w:r w:rsidRPr="00433BA6">
              <w:rPr>
                <w:rFonts w:asciiTheme="minorHAnsi" w:hAnsiTheme="minorHAnsi"/>
                <w:sz w:val="22"/>
                <w:szCs w:val="22"/>
              </w:rPr>
              <w:t xml:space="preserve"> le trasformazioni </w:t>
            </w:r>
            <w:proofErr w:type="gramStart"/>
            <w:r w:rsidRPr="00433BA6">
              <w:rPr>
                <w:rFonts w:asciiTheme="minorHAnsi" w:hAnsiTheme="minorHAnsi"/>
                <w:sz w:val="22"/>
                <w:szCs w:val="22"/>
              </w:rPr>
              <w:t>socio-culturali</w:t>
            </w:r>
            <w:proofErr w:type="gramEnd"/>
            <w:r w:rsidRPr="00433BA6">
              <w:rPr>
                <w:rFonts w:asciiTheme="minorHAnsi" w:hAnsiTheme="minorHAnsi"/>
                <w:sz w:val="22"/>
                <w:szCs w:val="22"/>
              </w:rPr>
              <w:t xml:space="preserve"> in atto. Le </w:t>
            </w:r>
            <w:proofErr w:type="spellStart"/>
            <w:r w:rsidRPr="00433BA6">
              <w:rPr>
                <w:rFonts w:asciiTheme="minorHAnsi" w:hAnsiTheme="minorHAnsi"/>
                <w:sz w:val="22"/>
                <w:szCs w:val="22"/>
              </w:rPr>
              <w:t>Etivity</w:t>
            </w:r>
            <w:proofErr w:type="spellEnd"/>
            <w:r w:rsidRPr="00433BA6">
              <w:rPr>
                <w:rFonts w:asciiTheme="minorHAnsi" w:hAnsiTheme="minorHAnsi"/>
                <w:sz w:val="22"/>
                <w:szCs w:val="22"/>
              </w:rPr>
              <w:t xml:space="preserve"> prevedono l’applicazione delle conoscenze teoriche a fenomeni sociali specifici quale le migrazioni internazionali.</w:t>
            </w:r>
          </w:p>
          <w:p w14:paraId="3ECBA3AC" w14:textId="46CF7F8E" w:rsidR="001857BA" w:rsidRPr="00FC7C4F" w:rsidRDefault="001857BA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4C74" w:rsidRPr="00FC7C4F" w14:paraId="75FB5E0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820C58B" w14:textId="77777777" w:rsidR="00DF4C74" w:rsidRPr="00FC7C4F" w:rsidRDefault="00DF4C74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Organizzazione dell’insegnamento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7AC4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433BA6">
              <w:rPr>
                <w:rFonts w:asciiTheme="minorHAnsi" w:hAnsiTheme="minorHAnsi"/>
                <w:sz w:val="22"/>
                <w:szCs w:val="22"/>
              </w:rPr>
              <w:t xml:space="preserve">Il corso è sviluppato attraverso le lezioni preregistrate audio-video che compongono, insieme a slide e dispense, i materiali di studio disponibili in piattaforma. Sono poi proposti dei test di autovalutazione, di tipo asincrono, che corredano le lezioni preregistrate e consentono agli studenti di accertare sia la comprensione, sia il grado di conoscenza acquisita dei contenuti di ognuna delle lezioni. La didattica interattiva è svolta nel forum della “classe virtuale” e comprende lezioni riassuntive e/o di approfondimento dei contenuti dei diversi moduli della materia. In particolare, il Corso di Sociologia dei processi culturali prevede </w:t>
            </w:r>
            <w:proofErr w:type="gramStart"/>
            <w:r w:rsidRPr="00433BA6">
              <w:rPr>
                <w:rFonts w:asciiTheme="minorHAnsi" w:hAnsiTheme="minorHAnsi"/>
                <w:sz w:val="22"/>
                <w:szCs w:val="22"/>
              </w:rPr>
              <w:t>6</w:t>
            </w:r>
            <w:proofErr w:type="gramEnd"/>
            <w:r w:rsidRPr="00433BA6">
              <w:rPr>
                <w:rFonts w:asciiTheme="minorHAnsi" w:hAnsiTheme="minorHAnsi"/>
                <w:sz w:val="22"/>
                <w:szCs w:val="22"/>
              </w:rPr>
              <w:t xml:space="preserve"> Crediti formativi. </w:t>
            </w:r>
          </w:p>
          <w:p w14:paraId="0FBDB1B5" w14:textId="6554654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433BA6">
              <w:rPr>
                <w:rFonts w:asciiTheme="minorHAnsi" w:hAnsiTheme="minorHAnsi"/>
                <w:sz w:val="22"/>
                <w:szCs w:val="22"/>
              </w:rPr>
              <w:t xml:space="preserve">Il carico totale di studio per questo modulo di insegnamento è di </w:t>
            </w:r>
            <w:r w:rsidRPr="00433BA6">
              <w:rPr>
                <w:rFonts w:asciiTheme="minorHAnsi" w:hAnsiTheme="minorHAnsi"/>
                <w:b/>
                <w:sz w:val="22"/>
                <w:szCs w:val="22"/>
              </w:rPr>
              <w:t>150 ore</w:t>
            </w:r>
            <w:r w:rsidRPr="00433BA6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B57343B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433BA6">
              <w:rPr>
                <w:rFonts w:asciiTheme="minorHAnsi" w:hAnsiTheme="minorHAnsi"/>
                <w:sz w:val="22"/>
                <w:szCs w:val="22"/>
              </w:rPr>
              <w:t xml:space="preserve">circa 126 ore di Didattica Erogativa (DE) per la visualizzazione e lo studio del materiale videoregistrato (7 ore per ora videoregistrata di Teoria). </w:t>
            </w:r>
          </w:p>
          <w:p w14:paraId="5B7BC693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433BA6">
              <w:rPr>
                <w:rFonts w:asciiTheme="minorHAnsi" w:hAnsiTheme="minorHAnsi"/>
                <w:sz w:val="22"/>
                <w:szCs w:val="22"/>
              </w:rPr>
              <w:t xml:space="preserve">Circa 12 ore di Didattica Interattiva (DI) per eventuali approfondimenti di ogni modulo (2 ore per CFU) </w:t>
            </w:r>
          </w:p>
          <w:p w14:paraId="367DDB15" w14:textId="77777777" w:rsidR="00FC7C4F" w:rsidRPr="00433BA6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433BA6">
              <w:rPr>
                <w:rFonts w:asciiTheme="minorHAnsi" w:hAnsiTheme="minorHAnsi"/>
                <w:sz w:val="22"/>
                <w:szCs w:val="22"/>
              </w:rPr>
              <w:t xml:space="preserve">Circa 10 ore di Didattica Interattiva per l’esecuzione dei test di autovalutazione. Circa 25 ore per </w:t>
            </w:r>
            <w:proofErr w:type="spellStart"/>
            <w:r w:rsidRPr="00433BA6">
              <w:rPr>
                <w:rFonts w:asciiTheme="minorHAnsi" w:hAnsiTheme="minorHAnsi"/>
                <w:sz w:val="22"/>
                <w:szCs w:val="22"/>
              </w:rPr>
              <w:t>Etivity</w:t>
            </w:r>
            <w:proofErr w:type="spellEnd"/>
            <w:r w:rsidRPr="00433BA6">
              <w:rPr>
                <w:rFonts w:asciiTheme="minorHAnsi" w:hAnsiTheme="minorHAnsi"/>
                <w:sz w:val="22"/>
                <w:szCs w:val="22"/>
              </w:rPr>
              <w:t>: ricerca, lettura e analisi di un breve testo di attualità su tematiche del corso. Si consiglia di distribuire lo studio della materia uniformemente in un periodo di 6/7 settimane dedicando tra le 20 e 30 ore di studio a settimana.</w:t>
            </w:r>
          </w:p>
          <w:p w14:paraId="2BD06D3C" w14:textId="77777777" w:rsidR="00DF4C74" w:rsidRPr="00FC7C4F" w:rsidRDefault="00DF4C74" w:rsidP="00FC7C4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4C74" w:rsidRPr="00FC7C4F" w14:paraId="67150A9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7540EF6" w14:textId="77777777" w:rsidR="00DF4C74" w:rsidRPr="00FC7C4F" w:rsidRDefault="00DF4C74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Contenuti del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F70FE" w14:textId="35564C70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>Modulo 1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>Migrazioni e Migranti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 xml:space="preserve"> (5 lezioni di teoria videoregistrate per un impegno di 17,5 ore - settimana 1)</w:t>
            </w:r>
          </w:p>
          <w:p w14:paraId="0A7E8702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Definizione del tema di studio e sue caratteristiche principali, i diversi tipi di migranti, i contesti dei flussi migratori, stadi dei processi migratori.</w:t>
            </w:r>
          </w:p>
          <w:p w14:paraId="330E1D30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827C86" w14:textId="249B008E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>Modulo 2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 xml:space="preserve">Le cause dei movimenti migratori 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>(5 lezioni di teoria videoregistrate per un impegno di 17,5 ore - settimana 1)</w:t>
            </w:r>
          </w:p>
          <w:p w14:paraId="0BF00277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L’approccio macrosociologico, l’approccio microsociologico, fattori determinanti delle migrazioni, relazioni tra approcci macro e micro.</w:t>
            </w:r>
          </w:p>
          <w:p w14:paraId="119B4448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9748B7" w14:textId="3122668B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>Modulo 3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 xml:space="preserve">Migrazioni e mercato del lavoro 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>(5 lezioni di teoria videoregistrate per un impegno di 17,5 ore - settimana 1)</w:t>
            </w:r>
          </w:p>
          <w:p w14:paraId="22CD3DB1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Il lavoratore e le lavoratrici figure centrali delle migrazioni, le 5 P del lavoro migrante, modello mediterraneo di immigrazione, il caso italiano</w:t>
            </w:r>
          </w:p>
          <w:p w14:paraId="36C48565" w14:textId="4CEE0773" w:rsidR="00FC7C4F" w:rsidRPr="00FC7C4F" w:rsidRDefault="00FC7C4F" w:rsidP="00FC7C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>E-</w:t>
            </w:r>
            <w:proofErr w:type="spellStart"/>
            <w:r w:rsidRPr="00FC7C4F">
              <w:rPr>
                <w:rFonts w:asciiTheme="minorHAnsi" w:hAnsiTheme="minorHAnsi"/>
                <w:b/>
                <w:sz w:val="22"/>
                <w:szCs w:val="22"/>
              </w:rPr>
              <w:t>tivity</w:t>
            </w:r>
            <w:proofErr w:type="spellEnd"/>
            <w:r w:rsidRPr="00FC7C4F">
              <w:rPr>
                <w:rFonts w:asciiTheme="minorHAnsi" w:hAnsiTheme="minorHAnsi"/>
                <w:b/>
                <w:sz w:val="22"/>
                <w:szCs w:val="22"/>
              </w:rPr>
              <w:t xml:space="preserve"> 1 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>6 ore di carico di studio - settimana 2</w:t>
            </w:r>
          </w:p>
          <w:p w14:paraId="2C3E4238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7F1F9B" w14:textId="06580500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>Modulo 4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 xml:space="preserve">Le reti migratorie 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>(5 lezioni di teoria videoregistrate per un impegno di 17,5 ore - settimana 1)</w:t>
            </w:r>
          </w:p>
          <w:p w14:paraId="06EC5F2B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Le funzioni delle reti sociali nel processo migratorio, i vantaggi e gli svantaggi delle reti “etniche”, le dimensioni delle reti, le reti formali e informali nel processo di integrazione.</w:t>
            </w:r>
          </w:p>
          <w:p w14:paraId="350BB0CA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8A09C1" w14:textId="02DEB0B6" w:rsidR="00FC7C4F" w:rsidRPr="00FC7C4F" w:rsidRDefault="00FC7C4F" w:rsidP="00FC7C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 xml:space="preserve">Modulo 5: Che genere di migrazione? 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>(5 lezioni di teoria videoregistrate per un impegno di 17,5 ore - settimana 1)</w:t>
            </w:r>
          </w:p>
          <w:p w14:paraId="76A4F8D1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Gli studi di genere nello studio delle migrazioni, studi sul lavoro-sfruttamento e divisione sessuale, il genere come fattore discriminante nel processo migratorio.</w:t>
            </w:r>
          </w:p>
          <w:p w14:paraId="31EA639C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FC30EA" w14:textId="61D16D99" w:rsidR="00FC7C4F" w:rsidRPr="00FC7C4F" w:rsidRDefault="00FC7C4F" w:rsidP="00FC7C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 xml:space="preserve">Modulo 6 Generazioni Migranti 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>(5 lezioni di teoria videoregistrate per un impegno di 17,5 ore - settimana 1)</w:t>
            </w:r>
          </w:p>
          <w:p w14:paraId="70ED414B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I figli e le figlie dei migranti, le seconde generazioni come banco di prova dell’inclusione, appartenenze multiple nel contesto italiano, futuri possibili.</w:t>
            </w:r>
          </w:p>
          <w:p w14:paraId="58EED49A" w14:textId="77777777" w:rsidR="00FC7C4F" w:rsidRPr="00FC7C4F" w:rsidRDefault="00FC7C4F" w:rsidP="00FC7C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5F099C" w14:textId="04DB7D6B" w:rsidR="00FC7C4F" w:rsidRPr="00FC7C4F" w:rsidRDefault="00FC7C4F" w:rsidP="00FC7C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 xml:space="preserve">Modulo 7 Le politiche pubbliche in materie di immigrazione 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>(5 lezioni di teoria videoregistrate per un impegno di 17,5 ore - settimana 1)</w:t>
            </w:r>
          </w:p>
          <w:p w14:paraId="22009491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Le politiche migratorie, le politiche d’integrazione, la lotta all’immigrazione irregolare, paradossi delle politiche migratorie e di integrazione</w:t>
            </w:r>
          </w:p>
          <w:p w14:paraId="0B5051ED" w14:textId="77777777" w:rsidR="00FC7C4F" w:rsidRPr="00FC7C4F" w:rsidRDefault="00FC7C4F" w:rsidP="00FC7C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639D02" w14:textId="5791F32F" w:rsidR="00FC7C4F" w:rsidRPr="00FC7C4F" w:rsidRDefault="00FC7C4F" w:rsidP="00FC7C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 xml:space="preserve">Modulo 8 Il sistema dell’accoglienza 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>(5 lezioni di teoria videoregistrate per un impegno di 17,5 ore - settimana 1)</w:t>
            </w:r>
          </w:p>
          <w:p w14:paraId="3F8B1A23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Dal sistema Sprar al sistema Siproimi, il ruolo degli operatori sociali nel sistema di accoglienza, Migranti, Rifugiati e richiedenti asilo e le diverse opzioni dell’accoglienza.</w:t>
            </w:r>
          </w:p>
          <w:p w14:paraId="56768455" w14:textId="47839BF7" w:rsidR="00FC7C4F" w:rsidRPr="00FC7C4F" w:rsidRDefault="00FC7C4F" w:rsidP="00FC7C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>E-</w:t>
            </w:r>
            <w:proofErr w:type="spellStart"/>
            <w:r w:rsidRPr="00FC7C4F">
              <w:rPr>
                <w:rFonts w:asciiTheme="minorHAnsi" w:hAnsiTheme="minorHAnsi"/>
                <w:b/>
                <w:sz w:val="22"/>
                <w:szCs w:val="22"/>
              </w:rPr>
              <w:t>tivity</w:t>
            </w:r>
            <w:proofErr w:type="spellEnd"/>
            <w:r w:rsidRPr="00FC7C4F">
              <w:rPr>
                <w:rFonts w:asciiTheme="minorHAnsi" w:hAnsiTheme="minorHAnsi"/>
                <w:b/>
                <w:sz w:val="22"/>
                <w:szCs w:val="22"/>
              </w:rPr>
              <w:t xml:space="preserve"> 3 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>6 ore di carico di studio - settimana 2</w:t>
            </w:r>
          </w:p>
          <w:p w14:paraId="1BBFA5FF" w14:textId="77777777" w:rsidR="00FC7C4F" w:rsidRPr="00FC7C4F" w:rsidRDefault="00FC7C4F" w:rsidP="00FC7C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4FD771" w14:textId="35267756" w:rsidR="00FC7C4F" w:rsidRPr="00FC7C4F" w:rsidRDefault="00FC7C4F" w:rsidP="00FC7C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 xml:space="preserve">Modulo 9 Violenza e Migranti 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>(5 lezioni di teoria videoregistrate per un impegno di 17,5 ore - settimana 1)</w:t>
            </w:r>
          </w:p>
          <w:p w14:paraId="6C08DF8B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Attività devianti e criminali, la violenza di transito, il traffico degli esseri umani, lo sfruttamento della prostituzione.</w:t>
            </w:r>
          </w:p>
          <w:p w14:paraId="6DB294A0" w14:textId="1F033C4F" w:rsidR="00DF4C74" w:rsidRPr="00FC7C4F" w:rsidRDefault="00FC7C4F" w:rsidP="00FC7C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>E-</w:t>
            </w:r>
            <w:proofErr w:type="spellStart"/>
            <w:r w:rsidRPr="00FC7C4F">
              <w:rPr>
                <w:rFonts w:asciiTheme="minorHAnsi" w:hAnsiTheme="minorHAnsi"/>
                <w:b/>
                <w:sz w:val="22"/>
                <w:szCs w:val="22"/>
              </w:rPr>
              <w:t>tivity</w:t>
            </w:r>
            <w:proofErr w:type="spellEnd"/>
            <w:r w:rsidRPr="00FC7C4F">
              <w:rPr>
                <w:rFonts w:asciiTheme="minorHAnsi" w:hAnsiTheme="minorHAnsi"/>
                <w:b/>
                <w:sz w:val="22"/>
                <w:szCs w:val="22"/>
              </w:rPr>
              <w:t xml:space="preserve"> 2 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>6 ore di carico di studio - settimana 2</w:t>
            </w:r>
          </w:p>
          <w:p w14:paraId="5A2D538D" w14:textId="77777777" w:rsidR="00FC7C4F" w:rsidRPr="00FC7C4F" w:rsidRDefault="00FC7C4F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0BB5742" w14:textId="77777777" w:rsidR="00DF4C74" w:rsidRPr="00FC7C4F" w:rsidRDefault="00DF4C74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Esercitazioni su compiti d’esame (3 lezioni di esercitazione per un impegno di 15 ore – settimana 10).</w:t>
            </w:r>
          </w:p>
          <w:p w14:paraId="6FA34EDB" w14:textId="2E4D2619" w:rsidR="00A23B7C" w:rsidRPr="00FC7C4F" w:rsidRDefault="00A23B7C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4C74" w:rsidRPr="00FC7C4F" w14:paraId="03C5E40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D4507F9" w14:textId="77777777" w:rsidR="00DF4C74" w:rsidRPr="00FC7C4F" w:rsidRDefault="00DF4C74" w:rsidP="0090273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lastRenderedPageBreak/>
              <w:t>Materiali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E2C03" w14:textId="77777777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MATERIALI DIDATTICI A CURA DEL DOCENTE</w:t>
            </w:r>
          </w:p>
          <w:p w14:paraId="688CFCAA" w14:textId="5BBB2F27" w:rsidR="00DF4C74" w:rsidRPr="00FC7C4F" w:rsidRDefault="00FC7C4F" w:rsidP="00FC7C4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 xml:space="preserve">Il materiale didattico presente in piattaforma è suddiviso in </w:t>
            </w:r>
            <w:proofErr w:type="gramStart"/>
            <w:r w:rsidRPr="00FC7C4F">
              <w:rPr>
                <w:rFonts w:asciiTheme="minorHAnsi" w:hAnsiTheme="minorHAnsi"/>
                <w:sz w:val="22"/>
                <w:szCs w:val="22"/>
              </w:rPr>
              <w:t>9</w:t>
            </w:r>
            <w:proofErr w:type="gramEnd"/>
            <w:r w:rsidRPr="00FC7C4F">
              <w:rPr>
                <w:rFonts w:asciiTheme="minorHAnsi" w:hAnsiTheme="minorHAnsi"/>
                <w:sz w:val="22"/>
                <w:szCs w:val="22"/>
              </w:rPr>
              <w:t xml:space="preserve"> moduli. I moduli ricoprono interamente il programma e ciascuno di essi contiene </w:t>
            </w: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>dispense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>slide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>test di autovalutazione, e-</w:t>
            </w:r>
            <w:proofErr w:type="spellStart"/>
            <w:r w:rsidRPr="00FC7C4F">
              <w:rPr>
                <w:rFonts w:asciiTheme="minorHAnsi" w:hAnsiTheme="minorHAnsi"/>
                <w:b/>
                <w:sz w:val="22"/>
                <w:szCs w:val="22"/>
              </w:rPr>
              <w:t>tivity</w:t>
            </w:r>
            <w:proofErr w:type="spellEnd"/>
            <w:r w:rsidRPr="00FC7C4F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>videolezioni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>. Tale materiale contiene tutti gli elementi necessari per affrontare lo studio della materia</w:t>
            </w:r>
          </w:p>
        </w:tc>
      </w:tr>
      <w:tr w:rsidR="00DF4C74" w:rsidRPr="00FC7C4F" w14:paraId="6483D23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C95A9F" w14:textId="77777777" w:rsidR="00DF4C74" w:rsidRPr="00FC7C4F" w:rsidRDefault="00DF4C74" w:rsidP="0090273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Modalità di verifica dell’apprendimento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93CCD" w14:textId="343A27C1" w:rsidR="00FC7C4F" w:rsidRPr="00FC7C4F" w:rsidRDefault="00FC7C4F" w:rsidP="00FC7C4F">
            <w:pPr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 xml:space="preserve">L’esame consiste nello svolgimento di una </w:t>
            </w:r>
            <w:r w:rsidRPr="00FC7C4F">
              <w:rPr>
                <w:rFonts w:asciiTheme="minorHAnsi" w:hAnsiTheme="minorHAnsi"/>
                <w:b/>
                <w:sz w:val="22"/>
                <w:szCs w:val="22"/>
              </w:rPr>
              <w:t xml:space="preserve">prova scritta ed a scelta </w:t>
            </w:r>
            <w:proofErr w:type="gramStart"/>
            <w:r w:rsidRPr="00FC7C4F">
              <w:rPr>
                <w:rFonts w:asciiTheme="minorHAnsi" w:hAnsiTheme="minorHAnsi"/>
                <w:b/>
                <w:sz w:val="22"/>
                <w:szCs w:val="22"/>
              </w:rPr>
              <w:t xml:space="preserve">anche 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 xml:space="preserve"> in</w:t>
            </w:r>
            <w:proofErr w:type="gramEnd"/>
            <w:r w:rsidRPr="00FC7C4F">
              <w:rPr>
                <w:rFonts w:asciiTheme="minorHAnsi" w:hAnsiTheme="minorHAnsi"/>
                <w:sz w:val="22"/>
                <w:szCs w:val="22"/>
              </w:rPr>
              <w:t xml:space="preserve"> forma orale tendente ad accertare le capacità di analisi e rielaborazione dei concetti acquisiti e di una serie di attività (</w:t>
            </w:r>
            <w:proofErr w:type="spellStart"/>
            <w:r w:rsidRPr="00FC7C4F">
              <w:rPr>
                <w:rFonts w:asciiTheme="minorHAnsi" w:hAnsiTheme="minorHAnsi"/>
                <w:i/>
                <w:sz w:val="22"/>
                <w:szCs w:val="22"/>
              </w:rPr>
              <w:t>etivity</w:t>
            </w:r>
            <w:proofErr w:type="spellEnd"/>
            <w:r w:rsidRPr="00FC7C4F">
              <w:rPr>
                <w:rFonts w:asciiTheme="minorHAnsi" w:hAnsiTheme="minorHAnsi"/>
                <w:sz w:val="22"/>
                <w:szCs w:val="22"/>
              </w:rPr>
              <w:t>) svolte durante il corso nelle classi virtuali e non. In questo modo vengono valutati i risultati di apprendimento attesi circa le conoscenze della materia, la capacità di applicarle, le abilità comunicative, la capacità di trarre conclusioni e la capacità di autoapprendimento.</w:t>
            </w:r>
          </w:p>
          <w:p w14:paraId="1B4B564A" w14:textId="070B19F4" w:rsidR="00FC7C4F" w:rsidRPr="00FC7C4F" w:rsidRDefault="00FC7C4F" w:rsidP="00FC7C4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C7C4F">
              <w:rPr>
                <w:rFonts w:asciiTheme="minorHAnsi" w:hAnsiTheme="minorHAnsi"/>
                <w:i/>
                <w:sz w:val="22"/>
                <w:szCs w:val="22"/>
              </w:rPr>
              <w:t>Nello specifico</w:t>
            </w:r>
          </w:p>
          <w:p w14:paraId="534B764A" w14:textId="4B928A5B" w:rsidR="00DF4C74" w:rsidRPr="00FC7C4F" w:rsidRDefault="00DF4C74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 xml:space="preserve">La prova scritta prevede </w:t>
            </w:r>
            <w:r w:rsidR="00FC7C4F" w:rsidRPr="00FC7C4F">
              <w:rPr>
                <w:rFonts w:asciiTheme="minorHAnsi" w:hAnsiTheme="minorHAnsi"/>
                <w:sz w:val="22"/>
                <w:szCs w:val="22"/>
              </w:rPr>
              <w:t>30 quesiti a risposta multipla</w:t>
            </w:r>
          </w:p>
          <w:p w14:paraId="1105DB9D" w14:textId="77777777" w:rsidR="00DF4C74" w:rsidRPr="00FC7C4F" w:rsidRDefault="00DF4C74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 xml:space="preserve">I risultati di apprendimento attesi circa le conoscenze della materia e la capacità di applicarle sono valutate dalla prova scritta, mentre le abilità comunicative, la capacità di trarre conclusioni e la capacità di autoapprendimento sono valutate in itinere attraverso le Etivity. </w:t>
            </w:r>
          </w:p>
          <w:p w14:paraId="5BEF3633" w14:textId="5F20C3F9" w:rsidR="00DF4C74" w:rsidRPr="00FC7C4F" w:rsidRDefault="00DF4C74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 xml:space="preserve">La prova orale consiste in un colloquio teso ad accertare il livello di preparazione dello studente. Quest’ultimo normalmente si snoda in </w:t>
            </w:r>
            <w:r w:rsidR="00FC7C4F" w:rsidRPr="00FC7C4F">
              <w:rPr>
                <w:rFonts w:asciiTheme="minorHAnsi" w:hAnsiTheme="minorHAnsi"/>
                <w:sz w:val="22"/>
                <w:szCs w:val="22"/>
              </w:rPr>
              <w:t>una serie di</w:t>
            </w:r>
            <w:r w:rsidRPr="00FC7C4F">
              <w:rPr>
                <w:rFonts w:asciiTheme="minorHAnsi" w:hAnsiTheme="minorHAnsi"/>
                <w:sz w:val="22"/>
                <w:szCs w:val="22"/>
              </w:rPr>
              <w:t xml:space="preserve"> domande (di natura teorica e/o applicativa) che riguardano l’intero programma dell’insegnamento, ogni domanda ha uguale dignità e pertanto un massimo voto pari a 10.</w:t>
            </w:r>
          </w:p>
          <w:p w14:paraId="02FF2643" w14:textId="77777777" w:rsidR="00DF4C74" w:rsidRPr="00FC7C4F" w:rsidRDefault="00DF4C74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In ambedue le modalità d’esame, particolare attenzione nella valutazione delle risposte viene data alla capacità dello studente di rielaborare, applicare e presentare con proprietà di linguaggio il materiale presente in piattaforma.</w:t>
            </w:r>
          </w:p>
          <w:p w14:paraId="116B82C1" w14:textId="77777777" w:rsidR="00DF4C74" w:rsidRPr="00FC7C4F" w:rsidRDefault="00DF4C74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In sede di valutazione finale, si terrà conto anche della proficua partecipazione ai forum (aule virtuali) e al corretto svolgimento delle e-</w:t>
            </w:r>
            <w:proofErr w:type="spellStart"/>
            <w:r w:rsidRPr="00FC7C4F">
              <w:rPr>
                <w:rFonts w:asciiTheme="minorHAnsi" w:hAnsiTheme="minorHAnsi"/>
                <w:sz w:val="22"/>
                <w:szCs w:val="22"/>
              </w:rPr>
              <w:t>tivity</w:t>
            </w:r>
            <w:proofErr w:type="spellEnd"/>
            <w:r w:rsidRPr="00FC7C4F">
              <w:rPr>
                <w:rFonts w:asciiTheme="minorHAnsi" w:hAnsiTheme="minorHAnsi"/>
                <w:sz w:val="22"/>
                <w:szCs w:val="22"/>
              </w:rPr>
              <w:t xml:space="preserve"> proposte.</w:t>
            </w:r>
          </w:p>
        </w:tc>
      </w:tr>
      <w:tr w:rsidR="00FC7C4F" w:rsidRPr="00FC7C4F" w14:paraId="356DBC1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25AB35" w14:textId="77777777" w:rsidR="00FC7C4F" w:rsidRPr="00FC7C4F" w:rsidRDefault="00FC7C4F" w:rsidP="0090273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7C4F">
              <w:rPr>
                <w:rFonts w:asciiTheme="minorHAnsi" w:hAnsiTheme="minorHAnsi"/>
                <w:sz w:val="22"/>
                <w:szCs w:val="22"/>
              </w:rPr>
              <w:t>Criteri per l’assegnazione dell’elaborato finale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5B7FD" w14:textId="331DCC33" w:rsidR="00FC7C4F" w:rsidRPr="0023022B" w:rsidRDefault="00FC7C4F" w:rsidP="0075511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23022B">
              <w:rPr>
                <w:rFonts w:asciiTheme="minorHAnsi" w:hAnsiTheme="minorHAnsi"/>
                <w:sz w:val="22"/>
                <w:szCs w:val="22"/>
                <w:lang w:val="it-IT"/>
              </w:rPr>
              <w:t>L’assegnazione dell’elaborato finale avviene sulla base di un colloquio con il docente in cui lo studente manifesterà i propri specifici interessi in relazione a qualche argomento che intende approfondire</w:t>
            </w:r>
            <w:r w:rsidR="0023022B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presentando anche se in una forma primordiale un indice da trattare.</w:t>
            </w:r>
            <w:r w:rsidRPr="0023022B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Non vi sono preclusioni alla richiesta di assegnazione della tesi e non è prevista una media particolare per poterla richiedere </w:t>
            </w:r>
          </w:p>
          <w:p w14:paraId="3025CE72" w14:textId="77777777" w:rsidR="00FC7C4F" w:rsidRPr="00FC7C4F" w:rsidRDefault="00FC7C4F" w:rsidP="00DF4C7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9AC7D4" w14:textId="2B25562D" w:rsidR="00DF4C74" w:rsidRPr="00FC7C4F" w:rsidRDefault="00DF4C74" w:rsidP="00DF4C7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DF4C74" w:rsidRPr="00FC7C4F" w:rsidSect="00B659D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1909" w14:textId="77777777" w:rsidR="00B659D3" w:rsidRDefault="00B659D3">
      <w:r>
        <w:separator/>
      </w:r>
    </w:p>
  </w:endnote>
  <w:endnote w:type="continuationSeparator" w:id="0">
    <w:p w14:paraId="318049CB" w14:textId="77777777" w:rsidR="00B659D3" w:rsidRDefault="00B6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Liberation Mono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CA66F7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CA66F7">
      <w:rPr>
        <w:bCs/>
        <w:color w:val="808080" w:themeColor="background1" w:themeShade="80"/>
        <w:sz w:val="16"/>
        <w:szCs w:val="16"/>
      </w:rPr>
      <w:t xml:space="preserve">TEL. 06.70307312 – FAX 06.45678379 –  </w:t>
    </w:r>
    <w:hyperlink r:id="rId1" w:history="1">
      <w:r w:rsidRPr="00CA66F7">
        <w:rPr>
          <w:rStyle w:val="Collegamentoipertestuale"/>
          <w:bCs/>
          <w:color w:val="808080" w:themeColor="background1" w:themeShade="80"/>
          <w:sz w:val="16"/>
          <w:szCs w:val="16"/>
          <w:u w:val="none"/>
        </w:rPr>
        <w:t>www.unicusano.it</w:t>
      </w:r>
    </w:hyperlink>
    <w:r w:rsidRPr="00CA66F7">
      <w:rPr>
        <w:bCs/>
        <w:color w:val="808080" w:themeColor="background1" w:themeShade="80"/>
        <w:sz w:val="16"/>
        <w:szCs w:val="16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08D7" w14:textId="77777777" w:rsidR="00B659D3" w:rsidRDefault="00B659D3">
      <w:r>
        <w:separator/>
      </w:r>
    </w:p>
  </w:footnote>
  <w:footnote w:type="continuationSeparator" w:id="0">
    <w:p w14:paraId="5AF301BC" w14:textId="77777777" w:rsidR="00B659D3" w:rsidRDefault="00B6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42521908">
    <w:abstractNumId w:val="0"/>
  </w:num>
  <w:num w:numId="2" w16cid:durableId="211621701">
    <w:abstractNumId w:val="10"/>
  </w:num>
  <w:num w:numId="3" w16cid:durableId="1109355357">
    <w:abstractNumId w:val="27"/>
  </w:num>
  <w:num w:numId="4" w16cid:durableId="189532949">
    <w:abstractNumId w:val="17"/>
  </w:num>
  <w:num w:numId="5" w16cid:durableId="1808819601">
    <w:abstractNumId w:val="25"/>
  </w:num>
  <w:num w:numId="6" w16cid:durableId="1255557115">
    <w:abstractNumId w:val="33"/>
  </w:num>
  <w:num w:numId="7" w16cid:durableId="513766849">
    <w:abstractNumId w:val="31"/>
  </w:num>
  <w:num w:numId="8" w16cid:durableId="135684185">
    <w:abstractNumId w:val="14"/>
  </w:num>
  <w:num w:numId="9" w16cid:durableId="2007786395">
    <w:abstractNumId w:val="23"/>
  </w:num>
  <w:num w:numId="10" w16cid:durableId="1301567801">
    <w:abstractNumId w:val="5"/>
  </w:num>
  <w:num w:numId="11" w16cid:durableId="80182129">
    <w:abstractNumId w:val="37"/>
  </w:num>
  <w:num w:numId="12" w16cid:durableId="603196363">
    <w:abstractNumId w:val="19"/>
  </w:num>
  <w:num w:numId="13" w16cid:durableId="2125687159">
    <w:abstractNumId w:val="22"/>
  </w:num>
  <w:num w:numId="14" w16cid:durableId="319046441">
    <w:abstractNumId w:val="1"/>
  </w:num>
  <w:num w:numId="15" w16cid:durableId="1930386926">
    <w:abstractNumId w:val="30"/>
  </w:num>
  <w:num w:numId="16" w16cid:durableId="18747359">
    <w:abstractNumId w:val="24"/>
  </w:num>
  <w:num w:numId="17" w16cid:durableId="1939943557">
    <w:abstractNumId w:val="8"/>
  </w:num>
  <w:num w:numId="18" w16cid:durableId="1501920478">
    <w:abstractNumId w:val="18"/>
  </w:num>
  <w:num w:numId="19" w16cid:durableId="2059471936">
    <w:abstractNumId w:val="29"/>
  </w:num>
  <w:num w:numId="20" w16cid:durableId="1349791552">
    <w:abstractNumId w:val="36"/>
  </w:num>
  <w:num w:numId="21" w16cid:durableId="1254633104">
    <w:abstractNumId w:val="21"/>
  </w:num>
  <w:num w:numId="22" w16cid:durableId="1020398650">
    <w:abstractNumId w:val="28"/>
  </w:num>
  <w:num w:numId="23" w16cid:durableId="728964746">
    <w:abstractNumId w:val="4"/>
  </w:num>
  <w:num w:numId="24" w16cid:durableId="1479107168">
    <w:abstractNumId w:val="34"/>
  </w:num>
  <w:num w:numId="25" w16cid:durableId="1709841997">
    <w:abstractNumId w:val="13"/>
  </w:num>
  <w:num w:numId="26" w16cid:durableId="1424915185">
    <w:abstractNumId w:val="12"/>
  </w:num>
  <w:num w:numId="27" w16cid:durableId="530074152">
    <w:abstractNumId w:val="7"/>
  </w:num>
  <w:num w:numId="28" w16cid:durableId="1330212001">
    <w:abstractNumId w:val="26"/>
  </w:num>
  <w:num w:numId="29" w16cid:durableId="485055351">
    <w:abstractNumId w:val="32"/>
  </w:num>
  <w:num w:numId="30" w16cid:durableId="314534633">
    <w:abstractNumId w:val="2"/>
  </w:num>
  <w:num w:numId="31" w16cid:durableId="1142884700">
    <w:abstractNumId w:val="16"/>
  </w:num>
  <w:num w:numId="32" w16cid:durableId="92159828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8867205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3728069">
    <w:abstractNumId w:val="20"/>
  </w:num>
  <w:num w:numId="35" w16cid:durableId="1624653029">
    <w:abstractNumId w:val="35"/>
  </w:num>
  <w:num w:numId="36" w16cid:durableId="89470307">
    <w:abstractNumId w:val="3"/>
  </w:num>
  <w:num w:numId="37" w16cid:durableId="896477597">
    <w:abstractNumId w:val="11"/>
  </w:num>
  <w:num w:numId="38" w16cid:durableId="1338465470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F1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5BD"/>
    <w:rsid w:val="0003447A"/>
    <w:rsid w:val="000366F8"/>
    <w:rsid w:val="00037009"/>
    <w:rsid w:val="0004161E"/>
    <w:rsid w:val="00046AFD"/>
    <w:rsid w:val="00046FD5"/>
    <w:rsid w:val="0006390C"/>
    <w:rsid w:val="000661DD"/>
    <w:rsid w:val="00067061"/>
    <w:rsid w:val="00073970"/>
    <w:rsid w:val="0007484A"/>
    <w:rsid w:val="000809A8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A2080"/>
    <w:rsid w:val="000A3700"/>
    <w:rsid w:val="000A52DD"/>
    <w:rsid w:val="000A73A0"/>
    <w:rsid w:val="000A76C4"/>
    <w:rsid w:val="000B1124"/>
    <w:rsid w:val="000B179E"/>
    <w:rsid w:val="000B44B4"/>
    <w:rsid w:val="000C29E2"/>
    <w:rsid w:val="000C45DD"/>
    <w:rsid w:val="000C6B69"/>
    <w:rsid w:val="000D52B3"/>
    <w:rsid w:val="000D663B"/>
    <w:rsid w:val="000D6FA9"/>
    <w:rsid w:val="000E16A0"/>
    <w:rsid w:val="000E2124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55F4"/>
    <w:rsid w:val="001501C4"/>
    <w:rsid w:val="0015237E"/>
    <w:rsid w:val="001531C9"/>
    <w:rsid w:val="0016256B"/>
    <w:rsid w:val="00172E8A"/>
    <w:rsid w:val="0017358F"/>
    <w:rsid w:val="001757D8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3063"/>
    <w:rsid w:val="001C3CE0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6F57"/>
    <w:rsid w:val="002072C7"/>
    <w:rsid w:val="00220BD0"/>
    <w:rsid w:val="00220C1E"/>
    <w:rsid w:val="00222DC4"/>
    <w:rsid w:val="0023022B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300527"/>
    <w:rsid w:val="00300E2C"/>
    <w:rsid w:val="003017F3"/>
    <w:rsid w:val="003062B3"/>
    <w:rsid w:val="00313B09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7B4A"/>
    <w:rsid w:val="00391541"/>
    <w:rsid w:val="003A11D5"/>
    <w:rsid w:val="003A3E18"/>
    <w:rsid w:val="003A4382"/>
    <w:rsid w:val="003A48CD"/>
    <w:rsid w:val="003A4B33"/>
    <w:rsid w:val="003A51EC"/>
    <w:rsid w:val="003B2088"/>
    <w:rsid w:val="003B34B2"/>
    <w:rsid w:val="003B3717"/>
    <w:rsid w:val="003B483A"/>
    <w:rsid w:val="003B7407"/>
    <w:rsid w:val="003C1C7C"/>
    <w:rsid w:val="003C2335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B66"/>
    <w:rsid w:val="00414F04"/>
    <w:rsid w:val="004154B0"/>
    <w:rsid w:val="00417893"/>
    <w:rsid w:val="00423132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5617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314B"/>
    <w:rsid w:val="004A3C89"/>
    <w:rsid w:val="004A4B70"/>
    <w:rsid w:val="004A7B82"/>
    <w:rsid w:val="004B25DB"/>
    <w:rsid w:val="004B6802"/>
    <w:rsid w:val="004C45A4"/>
    <w:rsid w:val="004C47EE"/>
    <w:rsid w:val="004C4913"/>
    <w:rsid w:val="004C56BA"/>
    <w:rsid w:val="004C608E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4E81"/>
    <w:rsid w:val="0064787C"/>
    <w:rsid w:val="0065000C"/>
    <w:rsid w:val="006529E6"/>
    <w:rsid w:val="00656467"/>
    <w:rsid w:val="006637D8"/>
    <w:rsid w:val="00666627"/>
    <w:rsid w:val="006707F1"/>
    <w:rsid w:val="00671F8B"/>
    <w:rsid w:val="00673184"/>
    <w:rsid w:val="00673E4B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12FA0"/>
    <w:rsid w:val="00714919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547"/>
    <w:rsid w:val="00882DD6"/>
    <w:rsid w:val="00887B9A"/>
    <w:rsid w:val="008A223F"/>
    <w:rsid w:val="008A3460"/>
    <w:rsid w:val="008A5728"/>
    <w:rsid w:val="008B345D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4D72"/>
    <w:rsid w:val="00922992"/>
    <w:rsid w:val="0092642E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381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2A48"/>
    <w:rsid w:val="00AD78EA"/>
    <w:rsid w:val="00AE043C"/>
    <w:rsid w:val="00AE2394"/>
    <w:rsid w:val="00AE2A6F"/>
    <w:rsid w:val="00AE2E97"/>
    <w:rsid w:val="00AE4811"/>
    <w:rsid w:val="00AF144D"/>
    <w:rsid w:val="00AF31D1"/>
    <w:rsid w:val="00B01016"/>
    <w:rsid w:val="00B03FDD"/>
    <w:rsid w:val="00B11E69"/>
    <w:rsid w:val="00B1449C"/>
    <w:rsid w:val="00B155BA"/>
    <w:rsid w:val="00B15D75"/>
    <w:rsid w:val="00B16A57"/>
    <w:rsid w:val="00B20C6F"/>
    <w:rsid w:val="00B23A29"/>
    <w:rsid w:val="00B266F3"/>
    <w:rsid w:val="00B33657"/>
    <w:rsid w:val="00B3550F"/>
    <w:rsid w:val="00B36F7C"/>
    <w:rsid w:val="00B37C1F"/>
    <w:rsid w:val="00B4674D"/>
    <w:rsid w:val="00B46BD2"/>
    <w:rsid w:val="00B46E7B"/>
    <w:rsid w:val="00B47C97"/>
    <w:rsid w:val="00B50156"/>
    <w:rsid w:val="00B51274"/>
    <w:rsid w:val="00B5323F"/>
    <w:rsid w:val="00B5447A"/>
    <w:rsid w:val="00B570D3"/>
    <w:rsid w:val="00B6332A"/>
    <w:rsid w:val="00B659D3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2FE1"/>
    <w:rsid w:val="00BA62A5"/>
    <w:rsid w:val="00BA7C87"/>
    <w:rsid w:val="00BB3830"/>
    <w:rsid w:val="00BB38CA"/>
    <w:rsid w:val="00BB4B7F"/>
    <w:rsid w:val="00BC52B6"/>
    <w:rsid w:val="00BC57B1"/>
    <w:rsid w:val="00BC63D2"/>
    <w:rsid w:val="00BD2876"/>
    <w:rsid w:val="00BD3793"/>
    <w:rsid w:val="00BD54DE"/>
    <w:rsid w:val="00BD6E89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A66F7"/>
    <w:rsid w:val="00CB0B5E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A7C"/>
    <w:rsid w:val="00D018EA"/>
    <w:rsid w:val="00D02A9C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4032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4945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408F8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729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C7C4F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6566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"/>
    <w:semiHidden/>
    <w:unhideWhenUsed/>
    <w:rsid w:val="00FC7C4F"/>
  </w:style>
  <w:style w:type="character" w:customStyle="1" w:styleId="MappadocumentoCarattere">
    <w:name w:val="Mappa documento Carattere"/>
    <w:basedOn w:val="Carpredefinitoparagrafo"/>
    <w:link w:val="Mappadocumento"/>
    <w:semiHidden/>
    <w:rsid w:val="00FC7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038C3-81F6-7A4A-8931-DAA39C4A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10213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Chiara Carbone</cp:lastModifiedBy>
  <cp:revision>2</cp:revision>
  <cp:lastPrinted>2022-05-05T09:03:00Z</cp:lastPrinted>
  <dcterms:created xsi:type="dcterms:W3CDTF">2024-01-05T11:58:00Z</dcterms:created>
  <dcterms:modified xsi:type="dcterms:W3CDTF">2024-01-05T11:58:00Z</dcterms:modified>
</cp:coreProperties>
</file>