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FC7C4F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5D07C" w14:textId="77777777" w:rsidR="00DF4C74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Sociologia delle migrazioni e delle relazioni interculturali</w:t>
            </w:r>
          </w:p>
          <w:p w14:paraId="4E0DE2FA" w14:textId="7C2AEE84" w:rsidR="000706C8" w:rsidRPr="00FC7C4F" w:rsidRDefault="000706C8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Sociologia delle migrazioni </w:t>
            </w:r>
            <w:r w:rsidR="00307949">
              <w:rPr>
                <w:rFonts w:asciiTheme="minorHAnsi" w:hAnsiTheme="minorHAnsi"/>
                <w:sz w:val="22"/>
                <w:szCs w:val="22"/>
              </w:rPr>
              <w:t>– relazioni internazionali</w:t>
            </w:r>
          </w:p>
        </w:tc>
      </w:tr>
      <w:tr w:rsidR="00DF4C74" w:rsidRPr="00FC7C4F" w14:paraId="52B32C4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6BDFC" w14:textId="2ED7FF14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LM 88; LM52</w:t>
            </w:r>
          </w:p>
        </w:tc>
      </w:tr>
      <w:tr w:rsidR="00DF4C74" w:rsidRPr="00FC7C4F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014D69DA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SPS/07</w:t>
            </w:r>
            <w:r w:rsidR="00763C29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 SPS/10</w:t>
            </w:r>
          </w:p>
        </w:tc>
      </w:tr>
      <w:tr w:rsidR="00DF4C74" w:rsidRPr="00FC7C4F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BDF38" w14:textId="7E6BA32A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202</w:t>
            </w:r>
            <w:r w:rsidR="00E8432B">
              <w:rPr>
                <w:rFonts w:asciiTheme="minorHAnsi" w:hAnsiTheme="minorHAnsi"/>
                <w:i/>
                <w:sz w:val="22"/>
                <w:szCs w:val="22"/>
              </w:rPr>
              <w:t>4</w:t>
            </w:r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/202</w:t>
            </w:r>
            <w:r w:rsidR="00E8432B">
              <w:rPr>
                <w:rFonts w:asciiTheme="minorHAnsi" w:hAnsiTheme="minorHAnsi"/>
                <w:i/>
                <w:sz w:val="22"/>
                <w:szCs w:val="22"/>
              </w:rPr>
              <w:t>5</w:t>
            </w:r>
          </w:p>
        </w:tc>
      </w:tr>
      <w:tr w:rsidR="00DF4C74" w:rsidRPr="00FC7C4F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6168BC7B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DF4C74" w:rsidRPr="00FC7C4F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11F7D51F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Per gli studenti di LM88 aver superato l’esame di Sociologia Generale</w:t>
            </w:r>
          </w:p>
        </w:tc>
      </w:tr>
      <w:tr w:rsidR="00DF4C74" w:rsidRPr="00FC7C4F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ED40D97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ABB33" w14:textId="1A15695D" w:rsidR="00FC7C4F" w:rsidRPr="00FC7C4F" w:rsidRDefault="00E8432B" w:rsidP="00FC7C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Daria Forlenza</w:t>
            </w:r>
          </w:p>
          <w:p w14:paraId="0CFC70E4" w14:textId="0CC06B6F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Facoltà: Sociologia</w:t>
            </w:r>
          </w:p>
          <w:p w14:paraId="12D4428B" w14:textId="45322ABC" w:rsidR="00FC7C4F" w:rsidRPr="00E8432B" w:rsidRDefault="00F01098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E8432B">
              <w:rPr>
                <w:rFonts w:asciiTheme="minorHAnsi" w:hAnsiTheme="minorHAnsi"/>
                <w:sz w:val="22"/>
                <w:szCs w:val="22"/>
              </w:rPr>
              <w:t>E-mail</w:t>
            </w:r>
            <w:r w:rsidR="00FC7C4F" w:rsidRPr="00E8432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E8432B" w:rsidRPr="00E8432B">
              <w:rPr>
                <w:rFonts w:asciiTheme="minorHAnsi" w:hAnsiTheme="minorHAnsi"/>
                <w:sz w:val="22"/>
                <w:szCs w:val="22"/>
              </w:rPr>
              <w:t>daria.forlenza</w:t>
            </w:r>
            <w:r w:rsidR="00E8432B" w:rsidRPr="00E8432B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E8432B" w:rsidRPr="00E8432B">
              <w:rPr>
                <w:rFonts w:asciiTheme="minorHAnsi" w:hAnsiTheme="minorHAnsi"/>
                <w:sz w:val="22"/>
                <w:szCs w:val="22"/>
              </w:rPr>
              <w:t>unicusano.it</w:t>
            </w:r>
          </w:p>
          <w:p w14:paraId="67D47587" w14:textId="0A598C09" w:rsidR="001857BA" w:rsidRPr="00FC7C4F" w:rsidRDefault="00FC7C4F" w:rsidP="00FC7C4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Orario di ricevimento: </w:t>
            </w:r>
            <w:r w:rsidR="00E8432B">
              <w:rPr>
                <w:rFonts w:asciiTheme="minorHAnsi" w:hAnsiTheme="minorHAnsi"/>
                <w:sz w:val="22"/>
                <w:szCs w:val="22"/>
              </w:rPr>
              <w:t>il martedì dalle 12,30 alle 14,00</w:t>
            </w:r>
          </w:p>
        </w:tc>
      </w:tr>
      <w:tr w:rsidR="00DF4C74" w:rsidRPr="00FC7C4F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F5D3" w14:textId="2646A80D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Il corso di sociologia delle migrazioni e delle relazioni interculturali ha lo scopo di far acquisire allo studente una conoscenza più esaustiva dei fenomeni migratori attraverso lo studio di alcuni concetti chiave, quali strumenti agili e utili a comprendere la complessità della mobilità umana. Il corso propone i paradigmi e le teorie fondamentali della sociologia delle migrazioni e delle relazioni interculturali, considerando i flussi migratori come dei fatti sociali totali e globali che attraversano la nostra società e che mettono in discussione le definizioni di convivenza e di confine nazionale</w:t>
            </w:r>
            <w:r w:rsidR="00A261E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F4C74" w:rsidRPr="00FC7C4F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D5B6" w14:textId="77777777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Il corso di sociologia delle migrazioni e delle relazioni interculturali ha i seguenti obiettivi formativi:</w:t>
            </w:r>
          </w:p>
          <w:p w14:paraId="7B9998C8" w14:textId="77777777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871FA0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Fornire le conoscenze basilari (concetti chiave e modelli) della sociologia delle migrazioni e delle relazioni interculturali</w:t>
            </w:r>
          </w:p>
          <w:p w14:paraId="30D5176A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Fornire gli strumenti per analizzare le implicazioni sociali e culturali dei flussi migratori e il loro impatto nelle relazioni umane</w:t>
            </w:r>
          </w:p>
          <w:p w14:paraId="165836AA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Dotare gli studenti di capacità di analisi critica del fenomeno migratorio, decostruendo stereotipi e pregiudizi</w:t>
            </w:r>
          </w:p>
          <w:p w14:paraId="17A2EFE5" w14:textId="77777777" w:rsidR="00DF4C74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Dotare gli studenti di strumenti agili per comprendere i livelli di oppressione delle migrazioni forzate</w:t>
            </w:r>
          </w:p>
          <w:p w14:paraId="7F367286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Avere conoscenza della normativa riguardo le migrazioni;</w:t>
            </w:r>
          </w:p>
          <w:p w14:paraId="0305BF67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Comprendere le migrazioni migrazioni come fenomeno strutturale;</w:t>
            </w:r>
          </w:p>
          <w:p w14:paraId="424C7918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Fornire agli studenti gli strumenti metodologici più adatti per indagare sulle migrazioni;</w:t>
            </w:r>
          </w:p>
          <w:p w14:paraId="2F7118F4" w14:textId="48F8D1DD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Conoscere il sistema dell’accoglienza italiano, con particolare riferimento a richiedenti asilo e rifugiati</w:t>
            </w:r>
          </w:p>
        </w:tc>
      </w:tr>
      <w:tr w:rsidR="00DF4C74" w:rsidRPr="00FC7C4F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0ACE750C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41BEA521" w:rsidR="001857BA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Anche se non vi sono prerequisiti obbligatori, è necessario avere acquisiti i fondamenti e i concetti della sociologia e alcune nozioni di antropologia culturale.</w:t>
            </w:r>
          </w:p>
        </w:tc>
      </w:tr>
      <w:tr w:rsidR="00DF4C74" w:rsidRPr="00FC7C4F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1F272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b/>
                <w:sz w:val="22"/>
                <w:szCs w:val="22"/>
              </w:rPr>
              <w:t>Competenze fornite dal corso allo studente declinati secondo i descrittori di Dublino: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• Conoscenza e comprensione </w:t>
            </w:r>
          </w:p>
          <w:p w14:paraId="438EEE75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• Capacità di applicare conoscenza e comprensione </w:t>
            </w:r>
          </w:p>
          <w:p w14:paraId="5D5EDFAF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• Autonomia di giudizio </w:t>
            </w:r>
          </w:p>
          <w:p w14:paraId="1BB82CF8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• Abilità comunicative </w:t>
            </w:r>
          </w:p>
          <w:p w14:paraId="03A1EB42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• Capacità di apprendimento </w:t>
            </w:r>
          </w:p>
          <w:p w14:paraId="7C723579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CAE930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Il corso, che fa parte della Laurea triennale, prevede principalmente lo sviluppo delle prime due competenze e mira a porre le basi per lo sviluppo delle altre tre competenze. </w:t>
            </w:r>
          </w:p>
          <w:p w14:paraId="0460C8B5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33BA6">
              <w:rPr>
                <w:rFonts w:asciiTheme="minorHAnsi" w:hAnsiTheme="minorHAnsi"/>
                <w:b/>
                <w:sz w:val="22"/>
                <w:szCs w:val="22"/>
              </w:rPr>
              <w:t xml:space="preserve">Conoscenza e capacità di comprensione </w:t>
            </w:r>
          </w:p>
          <w:p w14:paraId="7D8A17D8" w14:textId="027F884D" w:rsid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Lo studente al termine del Corso avrà acquisito conoscenza sugli argomenti principali 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>della sociologia delle migrazioni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, ivi delle dinamiche </w:t>
            </w:r>
            <w:r w:rsidR="005655A5" w:rsidRPr="00433BA6">
              <w:rPr>
                <w:rFonts w:asciiTheme="minorHAnsi" w:hAnsiTheme="minorHAnsi"/>
                <w:sz w:val="22"/>
                <w:szCs w:val="22"/>
              </w:rPr>
              <w:t>socioculturali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in corso e dei processi di interazione/integrazione sociale nelle odierne società multiculturali. Lo studente imparerà metodi per l’analisi degli argomenti trattati. Inoltre, tramite le </w:t>
            </w:r>
            <w:proofErr w:type="spellStart"/>
            <w:r w:rsidRPr="00433BA6">
              <w:rPr>
                <w:rFonts w:asciiTheme="minorHAnsi" w:hAnsiTheme="minorHAnsi"/>
                <w:sz w:val="22"/>
                <w:szCs w:val="22"/>
              </w:rPr>
              <w:t>Etivity</w:t>
            </w:r>
            <w:proofErr w:type="spellEnd"/>
            <w:r w:rsidRPr="00433BA6">
              <w:rPr>
                <w:rFonts w:asciiTheme="minorHAnsi" w:hAnsiTheme="minorHAnsi"/>
                <w:sz w:val="22"/>
                <w:szCs w:val="22"/>
              </w:rPr>
              <w:t xml:space="preserve"> gli studenti acquisiranno gli strumenti per una comprensione sociologica dei processi culturali odierni e per rielaborarli in maniera critica. </w:t>
            </w:r>
          </w:p>
          <w:p w14:paraId="2E44E3AE" w14:textId="77777777" w:rsidR="00A261E3" w:rsidRPr="00FC7C4F" w:rsidRDefault="00A261E3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C1B0FB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b/>
                <w:sz w:val="22"/>
                <w:szCs w:val="22"/>
              </w:rPr>
              <w:t>Applicazione delle conoscenze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2AF5C3B" w14:textId="6658054F" w:rsidR="00FC7C4F" w:rsidRPr="00433BA6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>Lo studente sarà in grado di utilizzare la conoscenza s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>ociologica per l’analisi delle migrazioni e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le trasformazioni </w:t>
            </w:r>
            <w:r w:rsidR="006523AF" w:rsidRPr="00433BA6">
              <w:rPr>
                <w:rFonts w:asciiTheme="minorHAnsi" w:hAnsiTheme="minorHAnsi"/>
                <w:sz w:val="22"/>
                <w:szCs w:val="22"/>
              </w:rPr>
              <w:t>socioculturali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in atto. Le </w:t>
            </w:r>
            <w:proofErr w:type="spellStart"/>
            <w:r w:rsidRPr="00433BA6">
              <w:rPr>
                <w:rFonts w:asciiTheme="minorHAnsi" w:hAnsiTheme="minorHAnsi"/>
                <w:sz w:val="22"/>
                <w:szCs w:val="22"/>
              </w:rPr>
              <w:t>Etivity</w:t>
            </w:r>
            <w:proofErr w:type="spellEnd"/>
            <w:r w:rsidRPr="00433BA6">
              <w:rPr>
                <w:rFonts w:asciiTheme="minorHAnsi" w:hAnsiTheme="minorHAnsi"/>
                <w:sz w:val="22"/>
                <w:szCs w:val="22"/>
              </w:rPr>
              <w:t xml:space="preserve"> prevedono l’applicazione delle conoscenze teoriche a fenomeni sociali specifici quale le migrazioni internazionali.</w:t>
            </w:r>
          </w:p>
          <w:p w14:paraId="3ECBA3AC" w14:textId="46CF7F8E" w:rsidR="001857BA" w:rsidRPr="00FC7C4F" w:rsidRDefault="001857BA" w:rsidP="00A261E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4C74" w:rsidRPr="00FC7C4F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7AC4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Il corso è sviluppato attraverso le lezioni preregistrate audio-video che compongono, insieme a slide e dispense, i materiali di studio disponibili in piattaforma. Sono poi proposti dei test di autovalutazione, di tipo asincrono, che corredano le lezioni preregistrate e consentono agli studenti di accertare sia la comprensione, sia il grado di conoscenza acquisita dei contenuti di ognuna delle lezioni. La didattica interattiva è svolta nel forum della “classe virtuale” e comprende lezioni riassuntive e/o di approfondimento dei contenuti dei diversi moduli della materia. In particolare, il Corso di Sociologia dei processi culturali prevede 6 Crediti formativi. </w:t>
            </w:r>
          </w:p>
          <w:p w14:paraId="0FBDB1B5" w14:textId="6554654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Il carico totale di studio per questo modulo di insegnamento è di </w:t>
            </w:r>
            <w:r w:rsidRPr="00433BA6">
              <w:rPr>
                <w:rFonts w:asciiTheme="minorHAnsi" w:hAnsiTheme="minorHAnsi"/>
                <w:b/>
                <w:sz w:val="22"/>
                <w:szCs w:val="22"/>
              </w:rPr>
              <w:t>150 ore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7B57343B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circa 126 ore di Didattica Erogativa (DE) per la visualizzazione e lo studio del materiale videoregistrato (7 ore per ora videoregistrata di Teoria). </w:t>
            </w:r>
          </w:p>
          <w:p w14:paraId="5B7BC693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Circa 12 ore di Didattica Interattiva (DI) per eventuali approfondimenti di ogni modulo (2 ore per CFU) </w:t>
            </w:r>
          </w:p>
          <w:p w14:paraId="367DDB15" w14:textId="77777777" w:rsidR="00FC7C4F" w:rsidRPr="00433BA6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Circa 10 ore di Didattica Interattiva per l’esecuzione dei test di autovalutazione. Circa 25 ore per </w:t>
            </w:r>
            <w:proofErr w:type="spellStart"/>
            <w:r w:rsidRPr="00433BA6">
              <w:rPr>
                <w:rFonts w:asciiTheme="minorHAnsi" w:hAnsiTheme="minorHAnsi"/>
                <w:sz w:val="22"/>
                <w:szCs w:val="22"/>
              </w:rPr>
              <w:t>Etivity</w:t>
            </w:r>
            <w:proofErr w:type="spellEnd"/>
            <w:r w:rsidRPr="00433BA6">
              <w:rPr>
                <w:rFonts w:asciiTheme="minorHAnsi" w:hAnsiTheme="minorHAnsi"/>
                <w:sz w:val="22"/>
                <w:szCs w:val="22"/>
              </w:rPr>
              <w:t>: ricerca, lettura e analisi di un breve testo di attualità su tematiche del corso. Si consiglia di distribuire lo studio della materia uniformemente in un periodo di 6/7 settimane dedicando tra le 20 e 30 ore di studio a settimana.</w:t>
            </w:r>
          </w:p>
          <w:p w14:paraId="2BD06D3C" w14:textId="77777777" w:rsidR="00DF4C74" w:rsidRPr="00FC7C4F" w:rsidRDefault="00DF4C74" w:rsidP="00A261E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4C74" w:rsidRPr="00FC7C4F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F70FE" w14:textId="7A0D0F25" w:rsidR="00FC7C4F" w:rsidRPr="00FC7C4F" w:rsidRDefault="008D6EEA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8D6EEA">
              <w:rPr>
                <w:rFonts w:asciiTheme="minorHAnsi" w:hAnsiTheme="minorHAnsi"/>
                <w:b/>
                <w:sz w:val="22"/>
                <w:szCs w:val="22"/>
              </w:rPr>
              <w:t xml:space="preserve">Modulo 1 - Globalizzazione e fenomeno migratorio 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>(5 lezioni di teoria videoregistrate per un impegno di 17,5 ore - settimana 1)</w:t>
            </w:r>
          </w:p>
          <w:p w14:paraId="0A7E8702" w14:textId="24B1B766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Definizione del tema di studio e </w:t>
            </w:r>
            <w:r w:rsidR="00B25A96">
              <w:rPr>
                <w:rFonts w:asciiTheme="minorHAnsi" w:hAnsiTheme="minorHAnsi"/>
                <w:sz w:val="22"/>
                <w:szCs w:val="22"/>
              </w:rPr>
              <w:t xml:space="preserve">le 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sue caratteristiche principali, </w:t>
            </w:r>
            <w:r w:rsidR="00B25A96">
              <w:rPr>
                <w:rFonts w:asciiTheme="minorHAnsi" w:hAnsiTheme="minorHAnsi"/>
                <w:sz w:val="22"/>
                <w:szCs w:val="22"/>
              </w:rPr>
              <w:t xml:space="preserve">in relazione alle teorie sulla globalizzazione dalle quali scaturiscono differenti </w:t>
            </w:r>
            <w:r w:rsidR="00165D05">
              <w:rPr>
                <w:rFonts w:asciiTheme="minorHAnsi" w:hAnsiTheme="minorHAnsi"/>
                <w:sz w:val="22"/>
                <w:szCs w:val="22"/>
              </w:rPr>
              <w:t xml:space="preserve">approcci  allo studio delle migrazioni. </w:t>
            </w:r>
          </w:p>
          <w:p w14:paraId="3F827C86" w14:textId="6729A9CA" w:rsidR="00FC7C4F" w:rsidRPr="00FC7C4F" w:rsidRDefault="00165D05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165D05">
              <w:rPr>
                <w:rFonts w:asciiTheme="minorHAnsi" w:hAnsiTheme="minorHAnsi"/>
                <w:b/>
                <w:sz w:val="22"/>
                <w:szCs w:val="22"/>
              </w:rPr>
              <w:t xml:space="preserve">Modulo 2 - L’oggetto di studio e le sue caratteristiche 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>(5 lezioni di teoria videoregistrate per un impegno di 17,5 ore - settimana 1)</w:t>
            </w:r>
          </w:p>
          <w:p w14:paraId="0BF00277" w14:textId="77777777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lastRenderedPageBreak/>
              <w:t>L’approccio macrosociologico, l’approccio microsociologico, fattori determinanti delle migrazioni, relazioni tra approcci macro e micro.</w:t>
            </w:r>
          </w:p>
          <w:p w14:paraId="0C9748B7" w14:textId="7582EBF1" w:rsidR="00FC7C4F" w:rsidRPr="00FD57F9" w:rsidRDefault="00FD57F9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D57F9">
              <w:rPr>
                <w:rFonts w:asciiTheme="minorHAnsi" w:hAnsiTheme="minorHAnsi"/>
                <w:b/>
                <w:sz w:val="22"/>
                <w:szCs w:val="22"/>
              </w:rPr>
              <w:t>Modulo 3 - La società Multietnica e multiculturale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 xml:space="preserve">5 lezioni di teoria videoregistrate per </w:t>
            </w:r>
            <w:r w:rsidR="00FC7C4F" w:rsidRPr="00FD57F9">
              <w:rPr>
                <w:rFonts w:asciiTheme="minorHAnsi" w:hAnsiTheme="minorHAnsi"/>
                <w:sz w:val="22"/>
                <w:szCs w:val="22"/>
              </w:rPr>
              <w:t>un impegno di 17,5 ore - settimana 1)</w:t>
            </w:r>
          </w:p>
          <w:p w14:paraId="36C48565" w14:textId="3F77FB3E" w:rsidR="00FC7C4F" w:rsidRPr="00FD57F9" w:rsidRDefault="00FD57F9" w:rsidP="00FD57F9">
            <w:pPr>
              <w:rPr>
                <w:rFonts w:asciiTheme="minorHAnsi" w:hAnsiTheme="minorHAnsi"/>
                <w:sz w:val="22"/>
                <w:szCs w:val="22"/>
              </w:rPr>
            </w:pPr>
            <w:r w:rsidRPr="00FD57F9">
              <w:rPr>
                <w:rFonts w:asciiTheme="minorHAnsi" w:hAnsiTheme="minorHAnsi"/>
                <w:sz w:val="22"/>
                <w:szCs w:val="22"/>
              </w:rPr>
              <w:t>Il rapporto fra multietnicità e lo straniero nella società complessa, le politiche per la gestione delle “differenze”.</w:t>
            </w:r>
          </w:p>
          <w:p w14:paraId="6B7F1F9B" w14:textId="4B0D2842" w:rsidR="00FC7C4F" w:rsidRDefault="00AF4090" w:rsidP="006804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F4090">
              <w:rPr>
                <w:rFonts w:asciiTheme="minorHAnsi" w:hAnsiTheme="minorHAnsi"/>
                <w:b/>
                <w:sz w:val="22"/>
                <w:szCs w:val="22"/>
              </w:rPr>
              <w:t>Modulo 4 -La costruzione sociale dello straniero e i processi di integrazione</w:t>
            </w:r>
            <w:r w:rsidR="00FC7C4F" w:rsidRPr="00FC7C4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>(5 lezioni di teoria videoregistrate per un impegno di 17,5 ore - settimana 1)</w:t>
            </w:r>
          </w:p>
          <w:p w14:paraId="7C275BF7" w14:textId="53CCB00F" w:rsidR="006804F5" w:rsidRPr="00FC7C4F" w:rsidRDefault="00AF4090" w:rsidP="006804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costruzione sociale dello straniero fra teoria e prassi sociale ; l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 xml:space="preserve">e funzioni delle reti sociali nel processo migratorio, </w:t>
            </w:r>
            <w:r>
              <w:rPr>
                <w:rFonts w:asciiTheme="minorHAnsi" w:hAnsiTheme="minorHAnsi"/>
                <w:sz w:val="22"/>
                <w:szCs w:val="22"/>
              </w:rPr>
              <w:t>la costruzione del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 xml:space="preserve"> processo di integrazione.</w:t>
            </w:r>
            <w:r w:rsidR="006804F5" w:rsidRPr="00FC7C4F">
              <w:rPr>
                <w:rFonts w:asciiTheme="minorHAnsi" w:hAnsiTheme="minorHAnsi"/>
                <w:sz w:val="22"/>
                <w:szCs w:val="22"/>
              </w:rPr>
              <w:t xml:space="preserve"> Dal sistema Sprar al sistema Siproimi, il ruolo degli operatori sociali nel sistema di accoglienza, Migranti, Rifugiati e richiedenti asilo e le diverse opzioni dell’accoglienza.</w:t>
            </w:r>
          </w:p>
          <w:p w14:paraId="1C8A09C1" w14:textId="44A4A729" w:rsidR="00FC7C4F" w:rsidRPr="00FC7C4F" w:rsidRDefault="001A7F2A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A7F2A">
              <w:rPr>
                <w:rFonts w:asciiTheme="minorHAnsi" w:hAnsiTheme="minorHAnsi"/>
                <w:b/>
                <w:sz w:val="22"/>
                <w:szCs w:val="22"/>
              </w:rPr>
              <w:t xml:space="preserve">Modulo 5 - I processi di integrazione sociolinguistica dei minori stranieri 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>(5 lezioni di teoria videoregistrate per un impegno di 17,5 ore - settimana 1)</w:t>
            </w:r>
          </w:p>
          <w:p w14:paraId="31EA639C" w14:textId="18AA1F8D" w:rsidR="00FC7C4F" w:rsidRPr="00FC7C4F" w:rsidRDefault="001A7F2A" w:rsidP="00FC7C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 studio riguarderà prevalentemente i MSNA, Minori stranieri non accompagnati in Italia, le leggi e le pratiche di integrazione, insieme a</w:t>
            </w:r>
            <w:r w:rsidR="00AD4BE9">
              <w:rPr>
                <w:rFonts w:asciiTheme="minorHAnsi" w:hAnsiTheme="minorHAnsi"/>
                <w:sz w:val="22"/>
                <w:szCs w:val="22"/>
              </w:rPr>
              <w:t xml:space="preserve">lle fasi di apprendimento della lingua italiana come L2. </w:t>
            </w:r>
          </w:p>
          <w:p w14:paraId="07FC30EA" w14:textId="28275928" w:rsidR="00FC7C4F" w:rsidRPr="00FC7C4F" w:rsidRDefault="00AD4BE9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4BE9">
              <w:rPr>
                <w:rFonts w:asciiTheme="minorHAnsi" w:hAnsiTheme="minorHAnsi"/>
                <w:b/>
                <w:sz w:val="22"/>
                <w:szCs w:val="22"/>
              </w:rPr>
              <w:t xml:space="preserve">Modulo 6 - Metodo e Ricerca Sociale : lo studio di caso 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>(5 lezioni di teoria videoregistrate per un impegno di 17,5 ore - settimana 1)</w:t>
            </w:r>
          </w:p>
          <w:p w14:paraId="3989F0B4" w14:textId="276C9FF0" w:rsidR="00AD4BE9" w:rsidRDefault="00AD4BE9" w:rsidP="00FC7C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 ricerca sociale empirica e la costruzione dello studio di caso. </w:t>
            </w:r>
          </w:p>
          <w:p w14:paraId="5D5F099C" w14:textId="1FED1502" w:rsidR="00FC7C4F" w:rsidRPr="00FC7C4F" w:rsidRDefault="003D7290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7290">
              <w:rPr>
                <w:rFonts w:asciiTheme="minorHAnsi" w:hAnsiTheme="minorHAnsi"/>
                <w:b/>
                <w:sz w:val="22"/>
                <w:szCs w:val="22"/>
              </w:rPr>
              <w:t xml:space="preserve">Modulo 7 - Media e migrazione : la stampa etnica 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>(5 lezioni di teoria videoregistrate per un impegno di 17,5 ore - settimana 1)</w:t>
            </w:r>
          </w:p>
          <w:p w14:paraId="73F3CF20" w14:textId="633A085C" w:rsidR="003D7290" w:rsidRDefault="003D7290" w:rsidP="00FC7C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rapporto fra media e rappresentazione sociale, migrante e stereotipo : l’importante ruolo fra media nazionali ed etnici .</w:t>
            </w:r>
          </w:p>
          <w:p w14:paraId="23639D02" w14:textId="025BBAE9" w:rsidR="00FC7C4F" w:rsidRPr="00FC7C4F" w:rsidRDefault="006804F5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04F5">
              <w:rPr>
                <w:rFonts w:asciiTheme="minorHAnsi" w:hAnsiTheme="minorHAnsi"/>
                <w:b/>
                <w:sz w:val="22"/>
                <w:szCs w:val="22"/>
              </w:rPr>
              <w:t xml:space="preserve">Modulo 8 - Intersezionalità, approccio di genere al fenomeno migratorio 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>(5 lezioni di teoria videoregistrate per un impegno di 17,5 ore - settimana 1)</w:t>
            </w:r>
          </w:p>
          <w:p w14:paraId="1BBFA5FF" w14:textId="2654E2F0" w:rsidR="00FC7C4F" w:rsidRPr="00E5285D" w:rsidRDefault="0076151C" w:rsidP="00FC7C4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5285D">
              <w:rPr>
                <w:rFonts w:asciiTheme="minorHAnsi" w:hAnsiTheme="minorHAnsi"/>
                <w:bCs/>
                <w:sz w:val="22"/>
                <w:szCs w:val="22"/>
              </w:rPr>
              <w:t xml:space="preserve">L’approccio intersezionale al fenomeno migratorio e </w:t>
            </w:r>
            <w:r w:rsidR="00E5285D" w:rsidRPr="00E5285D">
              <w:rPr>
                <w:rFonts w:asciiTheme="minorHAnsi" w:hAnsiTheme="minorHAnsi"/>
                <w:bCs/>
                <w:sz w:val="22"/>
                <w:szCs w:val="22"/>
              </w:rPr>
              <w:t>la presenza</w:t>
            </w:r>
            <w:r w:rsidRPr="00E5285D">
              <w:rPr>
                <w:rFonts w:asciiTheme="minorHAnsi" w:hAnsiTheme="minorHAnsi"/>
                <w:bCs/>
                <w:sz w:val="22"/>
                <w:szCs w:val="22"/>
              </w:rPr>
              <w:t xml:space="preserve"> dello </w:t>
            </w:r>
            <w:proofErr w:type="spellStart"/>
            <w:r w:rsidRPr="00E5285D">
              <w:rPr>
                <w:rFonts w:asciiTheme="minorHAnsi" w:hAnsiTheme="minorHAnsi"/>
                <w:bCs/>
                <w:sz w:val="22"/>
                <w:szCs w:val="22"/>
              </w:rPr>
              <w:t>stagionalato</w:t>
            </w:r>
            <w:proofErr w:type="spellEnd"/>
            <w:r w:rsidRPr="00E5285D">
              <w:rPr>
                <w:rFonts w:asciiTheme="minorHAnsi" w:hAnsiTheme="minorHAnsi"/>
                <w:bCs/>
                <w:sz w:val="22"/>
                <w:szCs w:val="22"/>
              </w:rPr>
              <w:t xml:space="preserve"> agricolo </w:t>
            </w:r>
            <w:r w:rsidR="005700BB" w:rsidRPr="00E5285D">
              <w:rPr>
                <w:rFonts w:asciiTheme="minorHAnsi" w:hAnsiTheme="minorHAnsi"/>
                <w:bCs/>
                <w:sz w:val="22"/>
                <w:szCs w:val="22"/>
              </w:rPr>
              <w:t xml:space="preserve">composto da una crescente femminilizzazione come studio di caso </w:t>
            </w:r>
            <w:r w:rsidR="00E5285D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224FD771" w14:textId="5F1AB1AC" w:rsidR="00FC7C4F" w:rsidRPr="00FC7C4F" w:rsidRDefault="000E77E4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77E4">
              <w:rPr>
                <w:rFonts w:asciiTheme="minorHAnsi" w:hAnsiTheme="minorHAnsi"/>
                <w:b/>
                <w:sz w:val="22"/>
                <w:szCs w:val="22"/>
              </w:rPr>
              <w:t>Modulo 9 - Il fenomeno migratorio in Italia e nel Lazio : prospettive macrosociologiche e focus su Roma Capitale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>5 lezioni di teoria videoregistrate per un impegno di 17,5 ore - settimana 1)</w:t>
            </w:r>
          </w:p>
          <w:p w14:paraId="6FA34EDB" w14:textId="6C2D636E" w:rsidR="00A23B7C" w:rsidRPr="00FC7C4F" w:rsidRDefault="005700BB" w:rsidP="000E77E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L’impegno dei servizi sociali su </w:t>
            </w:r>
            <w:r w:rsidR="00E5285D">
              <w:rPr>
                <w:rFonts w:asciiTheme="minorHAnsi" w:hAnsiTheme="minorHAnsi"/>
                <w:sz w:val="22"/>
                <w:szCs w:val="22"/>
              </w:rPr>
              <w:t>Roma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capitale e </w:t>
            </w:r>
            <w:r w:rsidR="00E5285D">
              <w:rPr>
                <w:rFonts w:asciiTheme="minorHAnsi" w:hAnsiTheme="minorHAnsi"/>
                <w:sz w:val="22"/>
                <w:szCs w:val="22"/>
              </w:rPr>
              <w:t>la presenza nel Lazio delle comunità migranti da un punto di vista statistico quantitativo .</w:t>
            </w:r>
          </w:p>
        </w:tc>
      </w:tr>
      <w:tr w:rsidR="00DF4C74" w:rsidRPr="00FC7C4F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E2C03" w14:textId="77777777" w:rsid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MATERIALI DIDATTICI A CURA DEL DOCENTE</w:t>
            </w:r>
          </w:p>
          <w:p w14:paraId="4411A48E" w14:textId="77777777" w:rsidR="00BA08E6" w:rsidRPr="00FC7C4F" w:rsidRDefault="00BA08E6" w:rsidP="00FC7C4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8CFCAA" w14:textId="5BBB2F27" w:rsidR="00DF4C74" w:rsidRPr="00FC7C4F" w:rsidRDefault="00FC7C4F" w:rsidP="00FC7C4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Il materiale didattico presente in piattaforma è suddiviso in 9 moduli. I moduli ricoprono interamente il programma e ciascuno di essi contiene </w:t>
            </w:r>
            <w:r w:rsidRPr="00FC7C4F">
              <w:rPr>
                <w:rFonts w:asciiTheme="minorHAnsi" w:hAnsiTheme="minorHAnsi"/>
                <w:b/>
                <w:sz w:val="22"/>
                <w:szCs w:val="22"/>
              </w:rPr>
              <w:t>dispense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C7C4F">
              <w:rPr>
                <w:rFonts w:asciiTheme="minorHAnsi" w:hAnsiTheme="minorHAnsi"/>
                <w:b/>
                <w:sz w:val="22"/>
                <w:szCs w:val="22"/>
              </w:rPr>
              <w:t>slide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C7C4F">
              <w:rPr>
                <w:rFonts w:asciiTheme="minorHAnsi" w:hAnsiTheme="minorHAnsi"/>
                <w:b/>
                <w:sz w:val="22"/>
                <w:szCs w:val="22"/>
              </w:rPr>
              <w:t>test di autovalutazione, e-</w:t>
            </w:r>
            <w:proofErr w:type="spellStart"/>
            <w:r w:rsidRPr="00FC7C4F">
              <w:rPr>
                <w:rFonts w:asciiTheme="minorHAnsi" w:hAnsiTheme="minorHAnsi"/>
                <w:b/>
                <w:sz w:val="22"/>
                <w:szCs w:val="22"/>
              </w:rPr>
              <w:t>tivity</w:t>
            </w:r>
            <w:proofErr w:type="spellEnd"/>
            <w:r w:rsidRPr="00FC7C4F"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r w:rsidRPr="00FC7C4F">
              <w:rPr>
                <w:rFonts w:asciiTheme="minorHAnsi" w:hAnsiTheme="minorHAnsi"/>
                <w:b/>
                <w:sz w:val="22"/>
                <w:szCs w:val="22"/>
              </w:rPr>
              <w:t>videolezioni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>. Tale materiale contiene tutti gli elementi necessari per affrontare lo studio della materia</w:t>
            </w:r>
          </w:p>
        </w:tc>
      </w:tr>
      <w:tr w:rsidR="00DF4C74" w:rsidRPr="00FC7C4F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93CCD" w14:textId="343A27C1" w:rsidR="00FC7C4F" w:rsidRPr="00FC7C4F" w:rsidRDefault="00FC7C4F" w:rsidP="009D38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L’esame consiste nello svolgimento di una </w:t>
            </w:r>
            <w:r w:rsidRPr="00FC7C4F">
              <w:rPr>
                <w:rFonts w:asciiTheme="minorHAnsi" w:hAnsiTheme="minorHAnsi"/>
                <w:b/>
                <w:sz w:val="22"/>
                <w:szCs w:val="22"/>
              </w:rPr>
              <w:t xml:space="preserve">prova scritta ed a scelta anche 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 in forma orale tendente ad accertare le capacità di analisi e rielaborazione dei concetti acquisiti e di una serie di attività (</w:t>
            </w:r>
            <w:proofErr w:type="spellStart"/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etivity</w:t>
            </w:r>
            <w:proofErr w:type="spellEnd"/>
            <w:r w:rsidRPr="00FC7C4F">
              <w:rPr>
                <w:rFonts w:asciiTheme="minorHAnsi" w:hAnsiTheme="minorHAnsi"/>
                <w:sz w:val="22"/>
                <w:szCs w:val="22"/>
              </w:rPr>
              <w:t>) svolte durante il corso nelle classi virtuali e non. In questo modo vengono valutati i risultati di apprendimento attesi circa le conoscenze della materia, la capacità di applicarle, le abilità comunicative, la capacità di trarre conclusioni e la capacità di autoapprendimento.</w:t>
            </w:r>
          </w:p>
          <w:p w14:paraId="1B4B564A" w14:textId="070B19F4" w:rsidR="00FC7C4F" w:rsidRPr="00FC7C4F" w:rsidRDefault="00FC7C4F" w:rsidP="009D387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Nello specifico</w:t>
            </w:r>
          </w:p>
          <w:p w14:paraId="534B764A" w14:textId="4B928A5B" w:rsidR="00DF4C74" w:rsidRPr="009D387B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lastRenderedPageBreak/>
              <w:t xml:space="preserve">La prova scritta prevede </w:t>
            </w:r>
            <w:r w:rsidR="00FC7C4F" w:rsidRP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30 quesiti a risposta multipla</w:t>
            </w:r>
          </w:p>
          <w:p w14:paraId="1105DB9D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I risultati di apprendimento attesi circa le conoscenze della materia e la capacità di applicarle sono valutate dalla prova scritta, mentre le abilità comunicative, la capacità di trarre conclusioni e la capacità di autoapprendimento sono valutate in itinere attraverso le Etivity. </w:t>
            </w:r>
          </w:p>
          <w:p w14:paraId="5BEF3633" w14:textId="2A9CBF5F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La prova orale consiste in un colloquio</w:t>
            </w:r>
            <w:r w:rsid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con lo studente per</w:t>
            </w:r>
            <w:r w:rsidRP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accertare il livello di preparazione.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2FF2643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In ambedue le modalità d’esame, particolare attenzione nella valutazione delle risposte viene data alla capacità dello studente di rielaborare, applicare e presentare con proprietà di linguaggio il materiale presente in piattaforma.</w:t>
            </w:r>
          </w:p>
          <w:p w14:paraId="116B82C1" w14:textId="77777777" w:rsidR="00DF4C74" w:rsidRPr="006523A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6523A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In sede di valutazione finale, si terrà conto anche della proficua partecipazione ai forum (aule virtuali) e al corretto svolgimento delle e-</w:t>
            </w:r>
            <w:proofErr w:type="spellStart"/>
            <w:r w:rsidRPr="006523A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tivity</w:t>
            </w:r>
            <w:proofErr w:type="spellEnd"/>
            <w:r w:rsidRPr="006523A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proposte.</w:t>
            </w:r>
          </w:p>
        </w:tc>
      </w:tr>
      <w:tr w:rsidR="00FC7C4F" w:rsidRPr="00FC7C4F" w14:paraId="356DBC1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25AB35" w14:textId="77777777" w:rsidR="00FC7C4F" w:rsidRPr="00FC7C4F" w:rsidRDefault="00FC7C4F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lastRenderedPageBreak/>
              <w:t>Criteri per l’assegnazione dell’elaborato finale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A7C99" w14:textId="7B1A43EA" w:rsidR="0029239E" w:rsidRDefault="00FC7C4F" w:rsidP="0075511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9B7348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L’assegnazione dell’elaborato finale avviene sulla base di un colloquio con il docente in cui lo studente manifesterà i propri specifici interessi in relazione a qualche argomento che intende approfondire. </w:t>
            </w:r>
            <w:r w:rsidR="002923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Per l’assegnazione dell’elaborato finale lo studente/ studentessa deve presentarsi al video ricevimento per chiedere la tesi per un colloquio iniziale :</w:t>
            </w:r>
          </w:p>
          <w:p w14:paraId="38D92CB7" w14:textId="77777777" w:rsidR="00FC7C4F" w:rsidRDefault="0029239E" w:rsidP="0029239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>devono successivamente essere inviati un indice, bibliografia e un abstract all’email docente</w:t>
            </w:r>
          </w:p>
          <w:p w14:paraId="1BBF7514" w14:textId="77777777" w:rsidR="0029239E" w:rsidRDefault="0029239E" w:rsidP="0029239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hyperlink r:id="rId8" w:history="1">
              <w:r w:rsidRPr="00EA2482">
                <w:rPr>
                  <w:rStyle w:val="Collegamentoipertestuale"/>
                  <w:rFonts w:asciiTheme="minorHAnsi" w:hAnsiTheme="minorHAnsi"/>
                  <w:sz w:val="22"/>
                  <w:szCs w:val="22"/>
                  <w:lang w:val="it-IT"/>
                </w:rPr>
                <w:t>daria.forlenza</w:t>
              </w:r>
              <w:r w:rsidRPr="00EA248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lang w:val="it-IT"/>
                </w:rPr>
                <w:t>@</w:t>
              </w:r>
              <w:r w:rsidRPr="00EA2482">
                <w:rPr>
                  <w:rStyle w:val="Collegamentoipertestuale"/>
                  <w:rFonts w:asciiTheme="minorHAnsi" w:hAnsiTheme="minorHAnsi"/>
                  <w:sz w:val="22"/>
                  <w:szCs w:val="22"/>
                  <w:lang w:val="it-IT"/>
                </w:rPr>
                <w:t>unicusano.it</w:t>
              </w:r>
            </w:hyperlink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</w:p>
          <w:p w14:paraId="3025CE72" w14:textId="354FCC5E" w:rsidR="0029239E" w:rsidRPr="0029239E" w:rsidRDefault="0029239E" w:rsidP="0029239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0B9AC7D4" w14:textId="2B25562D" w:rsidR="00DF4C74" w:rsidRPr="00FC7C4F" w:rsidRDefault="00DF4C74" w:rsidP="00DF4C7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DF4C74" w:rsidRPr="00FC7C4F" w:rsidSect="008D1BD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1E04" w14:textId="77777777" w:rsidR="006C2BAC" w:rsidRDefault="006C2BAC">
      <w:r>
        <w:separator/>
      </w:r>
    </w:p>
  </w:endnote>
  <w:endnote w:type="continuationSeparator" w:id="0">
    <w:p w14:paraId="54DBDF78" w14:textId="77777777" w:rsidR="006C2BAC" w:rsidRDefault="006C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F57B8" w14:textId="77777777" w:rsidR="006C2BAC" w:rsidRDefault="006C2BAC">
      <w:r>
        <w:separator/>
      </w:r>
    </w:p>
  </w:footnote>
  <w:footnote w:type="continuationSeparator" w:id="0">
    <w:p w14:paraId="3E84D24F" w14:textId="77777777" w:rsidR="006C2BAC" w:rsidRDefault="006C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38063084">
    <w:abstractNumId w:val="0"/>
  </w:num>
  <w:num w:numId="2" w16cid:durableId="96566488">
    <w:abstractNumId w:val="10"/>
  </w:num>
  <w:num w:numId="3" w16cid:durableId="219096472">
    <w:abstractNumId w:val="27"/>
  </w:num>
  <w:num w:numId="4" w16cid:durableId="1738164801">
    <w:abstractNumId w:val="17"/>
  </w:num>
  <w:num w:numId="5" w16cid:durableId="375399445">
    <w:abstractNumId w:val="25"/>
  </w:num>
  <w:num w:numId="6" w16cid:durableId="1550072626">
    <w:abstractNumId w:val="33"/>
  </w:num>
  <w:num w:numId="7" w16cid:durableId="2110159051">
    <w:abstractNumId w:val="31"/>
  </w:num>
  <w:num w:numId="8" w16cid:durableId="1951740705">
    <w:abstractNumId w:val="14"/>
  </w:num>
  <w:num w:numId="9" w16cid:durableId="1801070649">
    <w:abstractNumId w:val="23"/>
  </w:num>
  <w:num w:numId="10" w16cid:durableId="1006056026">
    <w:abstractNumId w:val="5"/>
  </w:num>
  <w:num w:numId="11" w16cid:durableId="1867013041">
    <w:abstractNumId w:val="37"/>
  </w:num>
  <w:num w:numId="12" w16cid:durableId="630014895">
    <w:abstractNumId w:val="19"/>
  </w:num>
  <w:num w:numId="13" w16cid:durableId="1647466826">
    <w:abstractNumId w:val="22"/>
  </w:num>
  <w:num w:numId="14" w16cid:durableId="1397045310">
    <w:abstractNumId w:val="1"/>
  </w:num>
  <w:num w:numId="15" w16cid:durableId="708116637">
    <w:abstractNumId w:val="30"/>
  </w:num>
  <w:num w:numId="16" w16cid:durableId="1926257587">
    <w:abstractNumId w:val="24"/>
  </w:num>
  <w:num w:numId="17" w16cid:durableId="2094010489">
    <w:abstractNumId w:val="8"/>
  </w:num>
  <w:num w:numId="18" w16cid:durableId="1856653290">
    <w:abstractNumId w:val="18"/>
  </w:num>
  <w:num w:numId="19" w16cid:durableId="33501868">
    <w:abstractNumId w:val="29"/>
  </w:num>
  <w:num w:numId="20" w16cid:durableId="1781950318">
    <w:abstractNumId w:val="36"/>
  </w:num>
  <w:num w:numId="21" w16cid:durableId="1590966916">
    <w:abstractNumId w:val="21"/>
  </w:num>
  <w:num w:numId="22" w16cid:durableId="2119979829">
    <w:abstractNumId w:val="28"/>
  </w:num>
  <w:num w:numId="23" w16cid:durableId="439686093">
    <w:abstractNumId w:val="4"/>
  </w:num>
  <w:num w:numId="24" w16cid:durableId="2143620490">
    <w:abstractNumId w:val="34"/>
  </w:num>
  <w:num w:numId="25" w16cid:durableId="1480657240">
    <w:abstractNumId w:val="13"/>
  </w:num>
  <w:num w:numId="26" w16cid:durableId="1330215632">
    <w:abstractNumId w:val="12"/>
  </w:num>
  <w:num w:numId="27" w16cid:durableId="1129516535">
    <w:abstractNumId w:val="7"/>
  </w:num>
  <w:num w:numId="28" w16cid:durableId="1831212810">
    <w:abstractNumId w:val="26"/>
  </w:num>
  <w:num w:numId="29" w16cid:durableId="2077511652">
    <w:abstractNumId w:val="32"/>
  </w:num>
  <w:num w:numId="30" w16cid:durableId="444079103">
    <w:abstractNumId w:val="2"/>
  </w:num>
  <w:num w:numId="31" w16cid:durableId="83697535">
    <w:abstractNumId w:val="16"/>
  </w:num>
  <w:num w:numId="32" w16cid:durableId="184007175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775236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5144136">
    <w:abstractNumId w:val="20"/>
  </w:num>
  <w:num w:numId="35" w16cid:durableId="1950162581">
    <w:abstractNumId w:val="35"/>
  </w:num>
  <w:num w:numId="36" w16cid:durableId="374891719">
    <w:abstractNumId w:val="3"/>
  </w:num>
  <w:num w:numId="37" w16cid:durableId="1151947956">
    <w:abstractNumId w:val="11"/>
  </w:num>
  <w:num w:numId="38" w16cid:durableId="644622591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06C8"/>
    <w:rsid w:val="00073970"/>
    <w:rsid w:val="0007484A"/>
    <w:rsid w:val="000809A8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E77E4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55F4"/>
    <w:rsid w:val="001501C4"/>
    <w:rsid w:val="0015237E"/>
    <w:rsid w:val="001531C9"/>
    <w:rsid w:val="0016256B"/>
    <w:rsid w:val="00165D05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A7F2A"/>
    <w:rsid w:val="001B3E8B"/>
    <w:rsid w:val="001B5F88"/>
    <w:rsid w:val="001B6165"/>
    <w:rsid w:val="001B6C3D"/>
    <w:rsid w:val="001C181D"/>
    <w:rsid w:val="001C3063"/>
    <w:rsid w:val="001C3CE0"/>
    <w:rsid w:val="001D1EBC"/>
    <w:rsid w:val="001D32F7"/>
    <w:rsid w:val="001D38BF"/>
    <w:rsid w:val="001E07B3"/>
    <w:rsid w:val="001E6F03"/>
    <w:rsid w:val="001F64E0"/>
    <w:rsid w:val="001F7AF5"/>
    <w:rsid w:val="0020041F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39E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07949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D7290"/>
    <w:rsid w:val="003E1B30"/>
    <w:rsid w:val="003E412C"/>
    <w:rsid w:val="003F51A8"/>
    <w:rsid w:val="00405995"/>
    <w:rsid w:val="00406074"/>
    <w:rsid w:val="00412515"/>
    <w:rsid w:val="0041430E"/>
    <w:rsid w:val="00414AC8"/>
    <w:rsid w:val="00414B66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4DCC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55A5"/>
    <w:rsid w:val="00566C68"/>
    <w:rsid w:val="005700BB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5F6FD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2594D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3AF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04F5"/>
    <w:rsid w:val="00682BCA"/>
    <w:rsid w:val="00682F18"/>
    <w:rsid w:val="0068375E"/>
    <w:rsid w:val="00692F14"/>
    <w:rsid w:val="006966AB"/>
    <w:rsid w:val="006A03FD"/>
    <w:rsid w:val="006A099F"/>
    <w:rsid w:val="006A3599"/>
    <w:rsid w:val="006B5C42"/>
    <w:rsid w:val="006C117D"/>
    <w:rsid w:val="006C1C97"/>
    <w:rsid w:val="006C2BAC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6151C"/>
    <w:rsid w:val="00763C29"/>
    <w:rsid w:val="00772585"/>
    <w:rsid w:val="00781561"/>
    <w:rsid w:val="0078668B"/>
    <w:rsid w:val="00791B36"/>
    <w:rsid w:val="007A2B61"/>
    <w:rsid w:val="007A53D0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6EEA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B7348"/>
    <w:rsid w:val="009C0C15"/>
    <w:rsid w:val="009C0E0F"/>
    <w:rsid w:val="009C3EC7"/>
    <w:rsid w:val="009C491E"/>
    <w:rsid w:val="009D387B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61E3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4BE9"/>
    <w:rsid w:val="00AD78EA"/>
    <w:rsid w:val="00AE043C"/>
    <w:rsid w:val="00AE2394"/>
    <w:rsid w:val="00AE2A6F"/>
    <w:rsid w:val="00AE2E97"/>
    <w:rsid w:val="00AE4811"/>
    <w:rsid w:val="00AF144D"/>
    <w:rsid w:val="00AF31D1"/>
    <w:rsid w:val="00AF4090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5A96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8E6"/>
    <w:rsid w:val="00BA0E24"/>
    <w:rsid w:val="00BA2237"/>
    <w:rsid w:val="00BA2FE1"/>
    <w:rsid w:val="00BA4AFF"/>
    <w:rsid w:val="00BA62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2BEB"/>
    <w:rsid w:val="00CA460E"/>
    <w:rsid w:val="00CA4A7C"/>
    <w:rsid w:val="00CA66F7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2760A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285D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432B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729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98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14A5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C7C4F"/>
    <w:rsid w:val="00FD071D"/>
    <w:rsid w:val="00FD57F9"/>
    <w:rsid w:val="00FD6A65"/>
    <w:rsid w:val="00FE17FB"/>
    <w:rsid w:val="00FE4234"/>
    <w:rsid w:val="00FE4CEE"/>
    <w:rsid w:val="00FF046C"/>
    <w:rsid w:val="00FF0F4A"/>
    <w:rsid w:val="00FF3EC4"/>
    <w:rsid w:val="00FF45DC"/>
    <w:rsid w:val="00FF6566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"/>
    <w:semiHidden/>
    <w:unhideWhenUsed/>
    <w:rsid w:val="00FC7C4F"/>
  </w:style>
  <w:style w:type="character" w:customStyle="1" w:styleId="MappadocumentoCarattere">
    <w:name w:val="Mappa documento Carattere"/>
    <w:basedOn w:val="Carpredefinitoparagrafo"/>
    <w:link w:val="Mappadocumento"/>
    <w:semiHidden/>
    <w:rsid w:val="00FC7C4F"/>
    <w:rPr>
      <w:sz w:val="24"/>
      <w:szCs w:val="24"/>
    </w:rPr>
  </w:style>
  <w:style w:type="character" w:styleId="Menzionenonrisolta">
    <w:name w:val="Unresolved Mention"/>
    <w:basedOn w:val="Carpredefinitoparagrafo"/>
    <w:rsid w:val="00292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forlenza@unicusa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038C3-81F6-7A4A-8931-DAA39C4A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1446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10025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daria forlenza</cp:lastModifiedBy>
  <cp:revision>32</cp:revision>
  <cp:lastPrinted>2022-05-05T09:03:00Z</cp:lastPrinted>
  <dcterms:created xsi:type="dcterms:W3CDTF">2024-12-09T09:32:00Z</dcterms:created>
  <dcterms:modified xsi:type="dcterms:W3CDTF">2025-02-18T11:09:00Z</dcterms:modified>
</cp:coreProperties>
</file>