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23" w:rsidRDefault="002C7C23" w:rsidP="001A255D"/>
    <w:p w:rsidR="001A255D" w:rsidRDefault="0094601A" w:rsidP="001A255D">
      <w:pPr>
        <w:rPr>
          <w:b/>
          <w:color w:val="44546A" w:themeColor="text2"/>
          <w:sz w:val="28"/>
          <w:szCs w:val="28"/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80645</wp:posOffset>
                </wp:positionV>
                <wp:extent cx="6123940" cy="1203325"/>
                <wp:effectExtent l="6350" t="13970" r="1333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4DC" w:rsidRPr="001A255D" w:rsidRDefault="008354D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A255D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Code:</w:t>
                            </w:r>
                            <w:r w:rsidR="001623CC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EA29CE" w:rsidRPr="00EA29CE">
                              <w:rPr>
                                <w:color w:val="44546A" w:themeColor="text2"/>
                                <w:sz w:val="28"/>
                                <w:szCs w:val="28"/>
                                <w:shd w:val="clear" w:color="auto" w:fill="FFFFFF"/>
                              </w:rPr>
                              <w:t>ANGL-01/C (</w:t>
                            </w:r>
                            <w:proofErr w:type="gramStart"/>
                            <w:r w:rsidR="00EA29CE" w:rsidRPr="00EA29CE">
                              <w:rPr>
                                <w:color w:val="44546A" w:themeColor="text2"/>
                                <w:sz w:val="28"/>
                                <w:szCs w:val="28"/>
                                <w:shd w:val="clear" w:color="auto" w:fill="FFFFFF"/>
                              </w:rPr>
                              <w:t>ex  L</w:t>
                            </w:r>
                            <w:proofErr w:type="gramEnd"/>
                            <w:r w:rsidR="00EA29CE" w:rsidRPr="00EA29CE">
                              <w:rPr>
                                <w:color w:val="44546A" w:themeColor="text2"/>
                                <w:sz w:val="28"/>
                                <w:szCs w:val="28"/>
                                <w:shd w:val="clear" w:color="auto" w:fill="FFFFFF"/>
                              </w:rPr>
                              <w:t>-LIN/12)</w:t>
                            </w:r>
                            <w:r w:rsidRPr="00EA29CE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DA501F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Credits:</w:t>
                            </w:r>
                            <w:r w:rsidR="00DA501F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="001623CC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</w:p>
                          <w:p w:rsidR="008354DC" w:rsidRPr="001A255D" w:rsidRDefault="001623C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Subject</w:t>
                            </w:r>
                            <w:r w:rsidR="008354DC" w:rsidRPr="001A255D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English (L-7;</w:t>
                            </w:r>
                            <w:r w:rsidR="00C6126E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 L-8;</w:t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 L-9)</w:t>
                            </w:r>
                          </w:p>
                          <w:p w:rsidR="008354DC" w:rsidRPr="001A255D" w:rsidRDefault="008354D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A255D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Main language of instruction: </w:t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1623CC">
                              <w:rPr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English</w:t>
                            </w:r>
                          </w:p>
                          <w:p w:rsidR="008354DC" w:rsidRPr="001A255D" w:rsidRDefault="008354D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A255D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Other language of instruction:</w:t>
                            </w:r>
                            <w:r w:rsidR="001623CC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1623CC">
                              <w:rPr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Italian</w:t>
                            </w:r>
                          </w:p>
                          <w:p w:rsidR="008354DC" w:rsidRPr="001A255D" w:rsidRDefault="008354D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8354DC" w:rsidRPr="008354DC" w:rsidRDefault="008354D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5pt;margin-top:6.35pt;width:482.2pt;height:9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" strokecolor="#44546a [3215]">
                <v:textbox>
                  <w:txbxContent>
                    <w:p w:rsidR="008354DC" w:rsidRPr="001A255D" w:rsidRDefault="008354D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  <w:r w:rsidRPr="001A255D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Code:</w:t>
                      </w:r>
                      <w:r w:rsidR="001623CC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 w:rsidR="00EA29CE" w:rsidRPr="00EA29CE">
                        <w:rPr>
                          <w:color w:val="44546A" w:themeColor="text2"/>
                          <w:sz w:val="28"/>
                          <w:szCs w:val="28"/>
                          <w:shd w:val="clear" w:color="auto" w:fill="FFFFFF"/>
                        </w:rPr>
                        <w:t>ANGL-01/C (</w:t>
                      </w:r>
                      <w:proofErr w:type="gramStart"/>
                      <w:r w:rsidR="00EA29CE" w:rsidRPr="00EA29CE">
                        <w:rPr>
                          <w:color w:val="44546A" w:themeColor="text2"/>
                          <w:sz w:val="28"/>
                          <w:szCs w:val="28"/>
                          <w:shd w:val="clear" w:color="auto" w:fill="FFFFFF"/>
                        </w:rPr>
                        <w:t>ex  L</w:t>
                      </w:r>
                      <w:proofErr w:type="gramEnd"/>
                      <w:r w:rsidR="00EA29CE" w:rsidRPr="00EA29CE">
                        <w:rPr>
                          <w:color w:val="44546A" w:themeColor="text2"/>
                          <w:sz w:val="28"/>
                          <w:szCs w:val="28"/>
                          <w:shd w:val="clear" w:color="auto" w:fill="FFFFFF"/>
                        </w:rPr>
                        <w:t>-LIN/12)</w:t>
                      </w:r>
                      <w:r w:rsidRPr="00EA29CE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 w:rsidR="00DA501F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Credits:</w:t>
                      </w:r>
                      <w:r w:rsidR="00DA501F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="001623CC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6</w:t>
                      </w:r>
                    </w:p>
                    <w:p w:rsidR="008354DC" w:rsidRPr="001A255D" w:rsidRDefault="001623C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Subject</w:t>
                      </w:r>
                      <w:r w:rsidR="008354DC" w:rsidRPr="001A255D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English (L-7;</w:t>
                      </w:r>
                      <w:r w:rsidR="00C6126E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 L-8;</w:t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 L-9)</w:t>
                      </w:r>
                    </w:p>
                    <w:p w:rsidR="008354DC" w:rsidRPr="001A255D" w:rsidRDefault="008354D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  <w:r w:rsidRPr="001A255D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Main language of instruction: </w:t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1623CC">
                        <w:rPr>
                          <w:color w:val="44546A" w:themeColor="text2"/>
                          <w:sz w:val="28"/>
                          <w:szCs w:val="28"/>
                          <w:lang w:val="en-US"/>
                        </w:rPr>
                        <w:t>English</w:t>
                      </w:r>
                    </w:p>
                    <w:p w:rsidR="008354DC" w:rsidRPr="001A255D" w:rsidRDefault="008354D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  <w:r w:rsidRPr="001A255D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Other language of instruction:</w:t>
                      </w:r>
                      <w:r w:rsidR="001623CC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1623CC">
                        <w:rPr>
                          <w:color w:val="44546A" w:themeColor="text2"/>
                          <w:sz w:val="28"/>
                          <w:szCs w:val="28"/>
                          <w:lang w:val="en-US"/>
                        </w:rPr>
                        <w:t>Italian</w:t>
                      </w:r>
                    </w:p>
                    <w:p w:rsidR="008354DC" w:rsidRPr="001A255D" w:rsidRDefault="008354D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</w:p>
                    <w:p w:rsidR="008354DC" w:rsidRPr="008354DC" w:rsidRDefault="008354D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2C7C23" w:rsidRDefault="002C7C23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Pr="008354DC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Head instructor</w:t>
      </w:r>
      <w:r w:rsidR="00091F57">
        <w:rPr>
          <w:b/>
          <w:color w:val="44546A" w:themeColor="text2"/>
          <w:sz w:val="28"/>
          <w:szCs w:val="28"/>
          <w:u w:val="single"/>
          <w:lang w:val="en-US"/>
        </w:rPr>
        <w:t xml:space="preserve"> Gaia Gentile</w:t>
      </w:r>
    </w:p>
    <w:p w:rsidR="001A255D" w:rsidRPr="001A255D" w:rsidRDefault="001623CC" w:rsidP="001A255D">
      <w:pPr>
        <w:rPr>
          <w:b/>
          <w:color w:val="44546A" w:themeColor="text2"/>
          <w:sz w:val="28"/>
          <w:szCs w:val="28"/>
          <w:lang w:val="en-US"/>
        </w:rPr>
      </w:pPr>
      <w:r>
        <w:rPr>
          <w:b/>
          <w:color w:val="44546A" w:themeColor="text2"/>
          <w:sz w:val="28"/>
          <w:szCs w:val="28"/>
          <w:lang w:val="en-US"/>
        </w:rPr>
        <w:t>Prof. gaia.gentile@</w:t>
      </w:r>
      <w:r w:rsidR="001A255D">
        <w:rPr>
          <w:b/>
          <w:color w:val="44546A" w:themeColor="text2"/>
          <w:sz w:val="28"/>
          <w:szCs w:val="28"/>
          <w:lang w:val="en-US"/>
        </w:rPr>
        <w:t>unic</w:t>
      </w:r>
      <w:r w:rsidR="002C7C23">
        <w:rPr>
          <w:b/>
          <w:color w:val="44546A" w:themeColor="text2"/>
          <w:sz w:val="28"/>
          <w:szCs w:val="28"/>
          <w:lang w:val="en-US"/>
        </w:rPr>
        <w:t>u</w:t>
      </w:r>
      <w:r w:rsidR="001A255D">
        <w:rPr>
          <w:b/>
          <w:color w:val="44546A" w:themeColor="text2"/>
          <w:sz w:val="28"/>
          <w:szCs w:val="28"/>
          <w:lang w:val="en-US"/>
        </w:rPr>
        <w:t xml:space="preserve">sano.it </w:t>
      </w:r>
    </w:p>
    <w:p w:rsidR="001A255D" w:rsidRDefault="001A255D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1A255D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1A255D">
        <w:rPr>
          <w:b/>
          <w:color w:val="44546A" w:themeColor="text2"/>
          <w:sz w:val="28"/>
          <w:szCs w:val="28"/>
          <w:u w:val="single"/>
          <w:lang w:val="en-US"/>
        </w:rPr>
        <w:t>Introduction</w:t>
      </w:r>
    </w:p>
    <w:p w:rsidR="001A255D" w:rsidRDefault="001A255D" w:rsidP="00891E9A">
      <w:pPr>
        <w:pStyle w:val="Paragrafoelenco"/>
        <w:numPr>
          <w:ilvl w:val="0"/>
          <w:numId w:val="2"/>
        </w:numPr>
        <w:rPr>
          <w:i/>
          <w:color w:val="44546A" w:themeColor="text2"/>
          <w:sz w:val="28"/>
          <w:szCs w:val="28"/>
          <w:lang w:val="en-US"/>
        </w:rPr>
      </w:pPr>
      <w:r w:rsidRPr="00891E9A">
        <w:rPr>
          <w:i/>
          <w:color w:val="44546A" w:themeColor="text2"/>
          <w:sz w:val="28"/>
          <w:szCs w:val="28"/>
          <w:lang w:val="en-US"/>
        </w:rPr>
        <w:t xml:space="preserve">Objective of the course </w:t>
      </w:r>
      <w:r w:rsidR="008354DC" w:rsidRPr="00891E9A">
        <w:rPr>
          <w:i/>
          <w:color w:val="44546A" w:themeColor="text2"/>
          <w:sz w:val="28"/>
          <w:szCs w:val="28"/>
          <w:lang w:val="en-US"/>
        </w:rPr>
        <w:t>:</w:t>
      </w:r>
    </w:p>
    <w:p w:rsidR="00F747D7" w:rsidRPr="00F747D7" w:rsidRDefault="00F747D7" w:rsidP="00F747D7">
      <w:p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The main aims of the course are to: develop and improve students’ language skills in all areas; acquire basic engineering concepts and words; enable students to use English to communicate with colleagues or clients.</w:t>
      </w:r>
    </w:p>
    <w:p w:rsidR="00DA501F" w:rsidRDefault="00DA501F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1A255D">
        <w:rPr>
          <w:b/>
          <w:color w:val="44546A" w:themeColor="text2"/>
          <w:sz w:val="28"/>
          <w:szCs w:val="28"/>
          <w:u w:val="single"/>
          <w:lang w:val="en-US"/>
        </w:rPr>
        <w:t>Objectives</w:t>
      </w:r>
    </w:p>
    <w:p w:rsidR="001A255D" w:rsidRDefault="001A255D" w:rsidP="00891E9A">
      <w:pPr>
        <w:pStyle w:val="Paragrafoelenco"/>
        <w:numPr>
          <w:ilvl w:val="0"/>
          <w:numId w:val="2"/>
        </w:numPr>
        <w:rPr>
          <w:i/>
          <w:color w:val="44546A" w:themeColor="text2"/>
          <w:sz w:val="28"/>
          <w:szCs w:val="28"/>
          <w:lang w:val="en-US"/>
        </w:rPr>
      </w:pPr>
      <w:r w:rsidRPr="00891E9A">
        <w:rPr>
          <w:i/>
          <w:color w:val="44546A" w:themeColor="text2"/>
          <w:sz w:val="28"/>
          <w:szCs w:val="28"/>
          <w:lang w:val="en-US"/>
        </w:rPr>
        <w:t>Course Structure</w:t>
      </w:r>
      <w:r w:rsidR="008354DC" w:rsidRPr="00891E9A">
        <w:rPr>
          <w:i/>
          <w:color w:val="44546A" w:themeColor="text2"/>
          <w:sz w:val="28"/>
          <w:szCs w:val="28"/>
          <w:lang w:val="en-US"/>
        </w:rPr>
        <w:t>:</w:t>
      </w:r>
      <w:r w:rsidRPr="00891E9A">
        <w:rPr>
          <w:i/>
          <w:color w:val="44546A" w:themeColor="text2"/>
          <w:sz w:val="28"/>
          <w:szCs w:val="28"/>
          <w:lang w:val="en-US"/>
        </w:rPr>
        <w:t xml:space="preserve"> </w:t>
      </w:r>
    </w:p>
    <w:p w:rsidR="00C377CA" w:rsidRDefault="00F747D7" w:rsidP="00F747D7">
      <w:p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 xml:space="preserve">The course is divided into eighteen modules (twelve about grammar; six about engineering concepts) and students are involved in a few different learning activities in each module. The students are expected to have the second or the third level of English (CEFR) – Level A2/B1. For each module there are some self-study materials (exercises with keys). Finally there </w:t>
      </w:r>
      <w:r w:rsidR="00027111">
        <w:rPr>
          <w:color w:val="44546A" w:themeColor="text2"/>
          <w:sz w:val="28"/>
          <w:szCs w:val="28"/>
          <w:lang w:val="en-US"/>
        </w:rPr>
        <w:t>is</w:t>
      </w:r>
      <w:r>
        <w:rPr>
          <w:color w:val="44546A" w:themeColor="text2"/>
          <w:sz w:val="28"/>
          <w:szCs w:val="28"/>
          <w:lang w:val="en-US"/>
        </w:rPr>
        <w:t xml:space="preserve"> an e-</w:t>
      </w:r>
      <w:proofErr w:type="spellStart"/>
      <w:r>
        <w:rPr>
          <w:color w:val="44546A" w:themeColor="text2"/>
          <w:sz w:val="28"/>
          <w:szCs w:val="28"/>
          <w:lang w:val="en-US"/>
        </w:rPr>
        <w:t>tivity</w:t>
      </w:r>
      <w:proofErr w:type="spellEnd"/>
      <w:r>
        <w:rPr>
          <w:color w:val="44546A" w:themeColor="text2"/>
          <w:sz w:val="28"/>
          <w:szCs w:val="28"/>
          <w:lang w:val="en-US"/>
        </w:rPr>
        <w:t>.</w:t>
      </w:r>
    </w:p>
    <w:p w:rsidR="00C377CA" w:rsidRPr="00F747D7" w:rsidRDefault="00C377CA" w:rsidP="00F747D7">
      <w:p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The course is worth 6 credits which corresponds to four weeks of full time work or 9 weeks of part time work, 150h split roughly equally between the modules.</w:t>
      </w:r>
    </w:p>
    <w:p w:rsidR="00DA501F" w:rsidRDefault="00DA501F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Competencies</w:t>
      </w:r>
      <w:r w:rsidR="008354DC">
        <w:rPr>
          <w:b/>
          <w:color w:val="44546A" w:themeColor="text2"/>
          <w:sz w:val="28"/>
          <w:szCs w:val="28"/>
          <w:u w:val="single"/>
          <w:lang w:val="en-US"/>
        </w:rPr>
        <w:t>:</w:t>
      </w:r>
    </w:p>
    <w:p w:rsidR="00F747D7" w:rsidRDefault="00F747D7" w:rsidP="001A255D">
      <w:pPr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Level B2</w:t>
      </w:r>
    </w:p>
    <w:p w:rsidR="00F747D7" w:rsidRDefault="00F747D7" w:rsidP="001A255D">
      <w:pPr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Students can</w:t>
      </w:r>
    </w:p>
    <w:p w:rsidR="00F747D7" w:rsidRDefault="00F7040F" w:rsidP="00F7040F">
      <w:pPr>
        <w:pStyle w:val="Paragrafoelenco"/>
        <w:numPr>
          <w:ilvl w:val="0"/>
          <w:numId w:val="3"/>
        </w:num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u</w:t>
      </w:r>
      <w:r w:rsidR="00F747D7">
        <w:rPr>
          <w:color w:val="44546A" w:themeColor="text2"/>
          <w:sz w:val="28"/>
          <w:szCs w:val="28"/>
          <w:lang w:val="en-US"/>
        </w:rPr>
        <w:t>nderstand the main ideas of complex text on both concrete and abstract topics, including scientific and technical discussions in the field of engineering.</w:t>
      </w:r>
    </w:p>
    <w:p w:rsidR="00F7040F" w:rsidRDefault="00F7040F" w:rsidP="00F7040F">
      <w:pPr>
        <w:pStyle w:val="Paragrafoelenco"/>
        <w:numPr>
          <w:ilvl w:val="0"/>
          <w:numId w:val="3"/>
        </w:num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interact with a degree of fluency and spontaneity with native speakers.</w:t>
      </w:r>
    </w:p>
    <w:p w:rsidR="00F7040F" w:rsidRPr="00F747D7" w:rsidRDefault="00F7040F" w:rsidP="00F7040F">
      <w:pPr>
        <w:pStyle w:val="Paragrafoelenco"/>
        <w:numPr>
          <w:ilvl w:val="0"/>
          <w:numId w:val="3"/>
        </w:num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improve their grammar and sentence structure thus producing clear text on a wide range of subjects, above all on basic engineering concepts.</w:t>
      </w:r>
    </w:p>
    <w:p w:rsidR="008354DC" w:rsidRDefault="008354DC" w:rsidP="00F7040F">
      <w:pPr>
        <w:jc w:val="both"/>
        <w:rPr>
          <w:b/>
          <w:color w:val="44546A" w:themeColor="text2"/>
          <w:sz w:val="28"/>
          <w:szCs w:val="28"/>
          <w:lang w:val="en-US"/>
        </w:rPr>
      </w:pPr>
    </w:p>
    <w:p w:rsidR="00DA501F" w:rsidRPr="001A255D" w:rsidRDefault="00DA501F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1A255D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1A255D">
        <w:rPr>
          <w:b/>
          <w:color w:val="44546A" w:themeColor="text2"/>
          <w:sz w:val="28"/>
          <w:szCs w:val="28"/>
          <w:u w:val="single"/>
          <w:lang w:val="en-US"/>
        </w:rPr>
        <w:t>Syllabus</w:t>
      </w:r>
    </w:p>
    <w:p w:rsidR="0087377B" w:rsidRDefault="0087377B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Pr="00891E9A" w:rsidRDefault="001A255D" w:rsidP="00891E9A">
      <w:pPr>
        <w:pStyle w:val="Paragrafoelenco"/>
        <w:numPr>
          <w:ilvl w:val="0"/>
          <w:numId w:val="2"/>
        </w:numPr>
        <w:rPr>
          <w:i/>
          <w:color w:val="44546A" w:themeColor="text2"/>
          <w:sz w:val="28"/>
          <w:szCs w:val="28"/>
          <w:lang w:val="en-US"/>
        </w:rPr>
      </w:pPr>
      <w:proofErr w:type="spellStart"/>
      <w:r w:rsidRPr="00891E9A">
        <w:rPr>
          <w:i/>
          <w:color w:val="44546A" w:themeColor="text2"/>
          <w:sz w:val="28"/>
          <w:szCs w:val="28"/>
          <w:lang w:val="en-US"/>
        </w:rPr>
        <w:t>Program</w:t>
      </w:r>
      <w:r w:rsidR="002C7C23" w:rsidRPr="00891E9A">
        <w:rPr>
          <w:i/>
          <w:color w:val="44546A" w:themeColor="text2"/>
          <w:sz w:val="28"/>
          <w:szCs w:val="28"/>
          <w:lang w:val="en-US"/>
        </w:rPr>
        <w:t>me</w:t>
      </w:r>
      <w:proofErr w:type="spellEnd"/>
      <w:r w:rsidRPr="00891E9A">
        <w:rPr>
          <w:i/>
          <w:color w:val="44546A" w:themeColor="text2"/>
          <w:sz w:val="28"/>
          <w:szCs w:val="28"/>
          <w:lang w:val="en-US"/>
        </w:rPr>
        <w:t xml:space="preserve"> of the course</w:t>
      </w:r>
      <w:r w:rsidR="008354DC" w:rsidRPr="00891E9A">
        <w:rPr>
          <w:i/>
          <w:color w:val="44546A" w:themeColor="text2"/>
          <w:sz w:val="28"/>
          <w:szCs w:val="28"/>
          <w:lang w:val="en-US"/>
        </w:rPr>
        <w:t>:</w:t>
      </w:r>
    </w:p>
    <w:p w:rsidR="002C7C23" w:rsidRPr="001A255D" w:rsidRDefault="002C7C23" w:rsidP="001A255D">
      <w:pPr>
        <w:rPr>
          <w:i/>
          <w:color w:val="44546A" w:themeColor="text2"/>
          <w:sz w:val="28"/>
          <w:szCs w:val="28"/>
          <w:lang w:val="en-US"/>
        </w:rPr>
      </w:pPr>
    </w:p>
    <w:p w:rsidR="0087377B" w:rsidRPr="0087377B" w:rsidRDefault="0087377B" w:rsidP="0087377B">
      <w:pPr>
        <w:spacing w:after="120"/>
        <w:textAlignment w:val="baseline"/>
        <w:rPr>
          <w:color w:val="44546A" w:themeColor="text2"/>
          <w:sz w:val="28"/>
          <w:szCs w:val="28"/>
          <w:lang w:val="en-US"/>
        </w:rPr>
      </w:pPr>
      <w:r w:rsidRPr="0087377B">
        <w:rPr>
          <w:color w:val="44546A" w:themeColor="text2"/>
          <w:sz w:val="28"/>
          <w:szCs w:val="28"/>
        </w:rPr>
        <w:t></w:t>
      </w:r>
      <w:r w:rsidRPr="0087377B">
        <w:rPr>
          <w:color w:val="44546A" w:themeColor="text2"/>
          <w:sz w:val="28"/>
          <w:szCs w:val="28"/>
          <w:lang w:val="en-US"/>
        </w:rPr>
        <w:t xml:space="preserve"> </w:t>
      </w:r>
      <w:r w:rsidRPr="0087377B">
        <w:rPr>
          <w:b/>
          <w:bCs/>
          <w:color w:val="44546A" w:themeColor="text2"/>
          <w:sz w:val="28"/>
          <w:szCs w:val="28"/>
          <w:lang w:val="en-US"/>
        </w:rPr>
        <w:t xml:space="preserve">Module 1 </w:t>
      </w:r>
      <w:r w:rsidRPr="0087377B">
        <w:rPr>
          <w:rFonts w:hint="eastAsia"/>
          <w:b/>
          <w:bCs/>
          <w:color w:val="44546A" w:themeColor="text2"/>
          <w:sz w:val="28"/>
          <w:szCs w:val="28"/>
          <w:lang w:val="en-US"/>
        </w:rPr>
        <w:t xml:space="preserve">– </w:t>
      </w:r>
      <w:r w:rsidRPr="0087377B">
        <w:rPr>
          <w:color w:val="44546A" w:themeColor="text2"/>
          <w:sz w:val="28"/>
          <w:szCs w:val="28"/>
          <w:lang w:val="en-US"/>
        </w:rPr>
        <w:t>Word order: affirmative, negative, interrogative sentences and</w:t>
      </w:r>
    </w:p>
    <w:p w:rsidR="0087377B" w:rsidRPr="0087377B" w:rsidRDefault="0087377B" w:rsidP="0087377B">
      <w:pPr>
        <w:spacing w:after="120"/>
        <w:textAlignment w:val="baseline"/>
        <w:rPr>
          <w:color w:val="44546A" w:themeColor="text2"/>
          <w:sz w:val="28"/>
          <w:szCs w:val="28"/>
          <w:lang w:val="en-US"/>
        </w:rPr>
      </w:pPr>
      <w:r w:rsidRPr="0087377B">
        <w:rPr>
          <w:color w:val="44546A" w:themeColor="text2"/>
          <w:sz w:val="28"/>
          <w:szCs w:val="28"/>
          <w:lang w:val="en-US"/>
        </w:rPr>
        <w:t>question tags.</w:t>
      </w:r>
    </w:p>
    <w:p w:rsidR="0087377B" w:rsidRPr="0087377B" w:rsidRDefault="0087377B" w:rsidP="0087377B">
      <w:pPr>
        <w:spacing w:after="120"/>
        <w:textAlignment w:val="baseline"/>
        <w:rPr>
          <w:color w:val="44546A" w:themeColor="text2"/>
          <w:sz w:val="28"/>
          <w:szCs w:val="28"/>
          <w:lang w:val="en-US"/>
        </w:rPr>
      </w:pPr>
      <w:r w:rsidRPr="0087377B">
        <w:rPr>
          <w:color w:val="44546A" w:themeColor="text2"/>
          <w:sz w:val="28"/>
          <w:szCs w:val="28"/>
        </w:rPr>
        <w:t></w:t>
      </w:r>
      <w:r w:rsidRPr="0087377B">
        <w:rPr>
          <w:color w:val="44546A" w:themeColor="text2"/>
          <w:sz w:val="28"/>
          <w:szCs w:val="28"/>
          <w:lang w:val="en-US"/>
        </w:rPr>
        <w:t xml:space="preserve"> </w:t>
      </w:r>
      <w:r w:rsidRPr="0087377B">
        <w:rPr>
          <w:b/>
          <w:bCs/>
          <w:color w:val="44546A" w:themeColor="text2"/>
          <w:sz w:val="28"/>
          <w:szCs w:val="28"/>
          <w:lang w:val="en-US"/>
        </w:rPr>
        <w:t xml:space="preserve">Module 2 </w:t>
      </w:r>
      <w:r w:rsidRPr="0087377B">
        <w:rPr>
          <w:rFonts w:hint="eastAsia"/>
          <w:b/>
          <w:bCs/>
          <w:color w:val="44546A" w:themeColor="text2"/>
          <w:sz w:val="28"/>
          <w:szCs w:val="28"/>
          <w:lang w:val="en-US"/>
        </w:rPr>
        <w:t xml:space="preserve">– </w:t>
      </w:r>
      <w:r w:rsidRPr="0087377B">
        <w:rPr>
          <w:color w:val="44546A" w:themeColor="text2"/>
          <w:sz w:val="28"/>
          <w:szCs w:val="28"/>
          <w:lang w:val="en-US"/>
        </w:rPr>
        <w:t>Introduction to verbs and the present tenses.</w:t>
      </w:r>
    </w:p>
    <w:p w:rsidR="0087377B" w:rsidRPr="0087377B" w:rsidRDefault="0087377B" w:rsidP="0087377B">
      <w:pPr>
        <w:spacing w:after="120"/>
        <w:textAlignment w:val="baseline"/>
        <w:rPr>
          <w:color w:val="44546A" w:themeColor="text2"/>
          <w:sz w:val="28"/>
          <w:szCs w:val="28"/>
          <w:lang w:val="en-US"/>
        </w:rPr>
      </w:pPr>
      <w:r w:rsidRPr="0087377B">
        <w:rPr>
          <w:color w:val="44546A" w:themeColor="text2"/>
          <w:sz w:val="28"/>
          <w:szCs w:val="28"/>
        </w:rPr>
        <w:t></w:t>
      </w:r>
      <w:r w:rsidRPr="0087377B">
        <w:rPr>
          <w:color w:val="44546A" w:themeColor="text2"/>
          <w:sz w:val="28"/>
          <w:szCs w:val="28"/>
          <w:lang w:val="en-US"/>
        </w:rPr>
        <w:t xml:space="preserve"> </w:t>
      </w:r>
      <w:r w:rsidRPr="0087377B">
        <w:rPr>
          <w:b/>
          <w:bCs/>
          <w:color w:val="44546A" w:themeColor="text2"/>
          <w:sz w:val="28"/>
          <w:szCs w:val="28"/>
          <w:lang w:val="en-US"/>
        </w:rPr>
        <w:t xml:space="preserve">Module 3 </w:t>
      </w:r>
      <w:r w:rsidRPr="0087377B">
        <w:rPr>
          <w:rFonts w:hint="eastAsia"/>
          <w:b/>
          <w:bCs/>
          <w:color w:val="44546A" w:themeColor="text2"/>
          <w:sz w:val="28"/>
          <w:szCs w:val="28"/>
          <w:lang w:val="en-US"/>
        </w:rPr>
        <w:t xml:space="preserve">– </w:t>
      </w:r>
      <w:r w:rsidRPr="0087377B">
        <w:rPr>
          <w:color w:val="44546A" w:themeColor="text2"/>
          <w:sz w:val="28"/>
          <w:szCs w:val="28"/>
          <w:lang w:val="en-US"/>
        </w:rPr>
        <w:t>The past tenses and used to.</w:t>
      </w:r>
    </w:p>
    <w:p w:rsidR="0087377B" w:rsidRPr="0087377B" w:rsidRDefault="0087377B" w:rsidP="0087377B">
      <w:pPr>
        <w:spacing w:after="120"/>
        <w:textAlignment w:val="baseline"/>
        <w:rPr>
          <w:color w:val="44546A" w:themeColor="text2"/>
          <w:sz w:val="28"/>
          <w:szCs w:val="28"/>
          <w:lang w:val="en-US"/>
        </w:rPr>
      </w:pPr>
      <w:r w:rsidRPr="0087377B">
        <w:rPr>
          <w:color w:val="44546A" w:themeColor="text2"/>
          <w:sz w:val="28"/>
          <w:szCs w:val="28"/>
        </w:rPr>
        <w:t></w:t>
      </w:r>
      <w:r w:rsidRPr="0087377B">
        <w:rPr>
          <w:color w:val="44546A" w:themeColor="text2"/>
          <w:sz w:val="28"/>
          <w:szCs w:val="28"/>
          <w:lang w:val="en-US"/>
        </w:rPr>
        <w:t xml:space="preserve"> </w:t>
      </w:r>
      <w:r w:rsidRPr="0087377B">
        <w:rPr>
          <w:b/>
          <w:bCs/>
          <w:color w:val="44546A" w:themeColor="text2"/>
          <w:sz w:val="28"/>
          <w:szCs w:val="28"/>
          <w:lang w:val="en-US"/>
        </w:rPr>
        <w:t xml:space="preserve">Module 4 </w:t>
      </w:r>
      <w:r w:rsidRPr="0087377B">
        <w:rPr>
          <w:rFonts w:hint="eastAsia"/>
          <w:b/>
          <w:bCs/>
          <w:color w:val="44546A" w:themeColor="text2"/>
          <w:sz w:val="28"/>
          <w:szCs w:val="28"/>
          <w:lang w:val="en-US"/>
        </w:rPr>
        <w:t xml:space="preserve">– </w:t>
      </w:r>
      <w:r w:rsidRPr="0087377B">
        <w:rPr>
          <w:color w:val="44546A" w:themeColor="text2"/>
          <w:sz w:val="28"/>
          <w:szCs w:val="28"/>
          <w:lang w:val="en-US"/>
        </w:rPr>
        <w:t>The perfect tenses: the present and the past.</w:t>
      </w:r>
    </w:p>
    <w:p w:rsidR="0087377B" w:rsidRPr="0087377B" w:rsidRDefault="0087377B" w:rsidP="0087377B">
      <w:pPr>
        <w:spacing w:after="120"/>
        <w:textAlignment w:val="baseline"/>
        <w:rPr>
          <w:color w:val="44546A" w:themeColor="text2"/>
          <w:sz w:val="28"/>
          <w:szCs w:val="28"/>
          <w:lang w:val="en-US"/>
        </w:rPr>
      </w:pPr>
      <w:r w:rsidRPr="0087377B">
        <w:rPr>
          <w:color w:val="44546A" w:themeColor="text2"/>
          <w:sz w:val="28"/>
          <w:szCs w:val="28"/>
        </w:rPr>
        <w:t></w:t>
      </w:r>
      <w:r w:rsidRPr="0087377B">
        <w:rPr>
          <w:color w:val="44546A" w:themeColor="text2"/>
          <w:sz w:val="28"/>
          <w:szCs w:val="28"/>
          <w:lang w:val="en-US"/>
        </w:rPr>
        <w:t xml:space="preserve"> </w:t>
      </w:r>
      <w:r w:rsidRPr="0087377B">
        <w:rPr>
          <w:b/>
          <w:bCs/>
          <w:color w:val="44546A" w:themeColor="text2"/>
          <w:sz w:val="28"/>
          <w:szCs w:val="28"/>
          <w:lang w:val="en-US"/>
        </w:rPr>
        <w:t xml:space="preserve">Module 5 </w:t>
      </w:r>
      <w:r w:rsidRPr="0087377B">
        <w:rPr>
          <w:rFonts w:hint="eastAsia"/>
          <w:b/>
          <w:bCs/>
          <w:color w:val="44546A" w:themeColor="text2"/>
          <w:sz w:val="28"/>
          <w:szCs w:val="28"/>
          <w:lang w:val="en-US"/>
        </w:rPr>
        <w:t xml:space="preserve">– </w:t>
      </w:r>
      <w:r w:rsidRPr="0087377B">
        <w:rPr>
          <w:color w:val="44546A" w:themeColor="text2"/>
          <w:sz w:val="28"/>
          <w:szCs w:val="28"/>
          <w:lang w:val="en-US"/>
        </w:rPr>
        <w:t>The future.</w:t>
      </w:r>
    </w:p>
    <w:p w:rsidR="0087377B" w:rsidRPr="0087377B" w:rsidRDefault="0087377B" w:rsidP="0087377B">
      <w:pPr>
        <w:spacing w:after="120"/>
        <w:textAlignment w:val="baseline"/>
        <w:rPr>
          <w:color w:val="44546A" w:themeColor="text2"/>
          <w:sz w:val="28"/>
          <w:szCs w:val="28"/>
          <w:lang w:val="en-US"/>
        </w:rPr>
      </w:pPr>
      <w:r w:rsidRPr="0087377B">
        <w:rPr>
          <w:color w:val="44546A" w:themeColor="text2"/>
          <w:sz w:val="28"/>
          <w:szCs w:val="28"/>
        </w:rPr>
        <w:t></w:t>
      </w:r>
      <w:r w:rsidRPr="0087377B">
        <w:rPr>
          <w:color w:val="44546A" w:themeColor="text2"/>
          <w:sz w:val="28"/>
          <w:szCs w:val="28"/>
          <w:lang w:val="en-US"/>
        </w:rPr>
        <w:t xml:space="preserve"> </w:t>
      </w:r>
      <w:r w:rsidRPr="0087377B">
        <w:rPr>
          <w:b/>
          <w:bCs/>
          <w:color w:val="44546A" w:themeColor="text2"/>
          <w:sz w:val="28"/>
          <w:szCs w:val="28"/>
          <w:lang w:val="en-US"/>
        </w:rPr>
        <w:t xml:space="preserve">Module 6 </w:t>
      </w:r>
      <w:r w:rsidRPr="0087377B">
        <w:rPr>
          <w:rFonts w:hint="eastAsia"/>
          <w:b/>
          <w:bCs/>
          <w:color w:val="44546A" w:themeColor="text2"/>
          <w:sz w:val="28"/>
          <w:szCs w:val="28"/>
          <w:lang w:val="en-US"/>
        </w:rPr>
        <w:t xml:space="preserve">– </w:t>
      </w:r>
      <w:r w:rsidRPr="0087377B">
        <w:rPr>
          <w:color w:val="44546A" w:themeColor="text2"/>
          <w:sz w:val="28"/>
          <w:szCs w:val="28"/>
          <w:lang w:val="en-US"/>
        </w:rPr>
        <w:t>Modal verbs.</w:t>
      </w:r>
    </w:p>
    <w:p w:rsidR="0087377B" w:rsidRPr="0087377B" w:rsidRDefault="0087377B" w:rsidP="0087377B">
      <w:pPr>
        <w:spacing w:after="120"/>
        <w:textAlignment w:val="baseline"/>
        <w:rPr>
          <w:color w:val="44546A" w:themeColor="text2"/>
          <w:sz w:val="28"/>
          <w:szCs w:val="28"/>
          <w:lang w:val="en-US"/>
        </w:rPr>
      </w:pPr>
      <w:r w:rsidRPr="0087377B">
        <w:rPr>
          <w:color w:val="44546A" w:themeColor="text2"/>
          <w:sz w:val="28"/>
          <w:szCs w:val="28"/>
        </w:rPr>
        <w:t></w:t>
      </w:r>
      <w:r w:rsidRPr="0087377B">
        <w:rPr>
          <w:color w:val="44546A" w:themeColor="text2"/>
          <w:sz w:val="28"/>
          <w:szCs w:val="28"/>
          <w:lang w:val="en-US"/>
        </w:rPr>
        <w:t xml:space="preserve"> </w:t>
      </w:r>
      <w:r w:rsidRPr="0087377B">
        <w:rPr>
          <w:b/>
          <w:bCs/>
          <w:color w:val="44546A" w:themeColor="text2"/>
          <w:sz w:val="28"/>
          <w:szCs w:val="28"/>
          <w:lang w:val="en-US"/>
        </w:rPr>
        <w:t xml:space="preserve">Module 7 </w:t>
      </w:r>
      <w:r w:rsidRPr="0087377B">
        <w:rPr>
          <w:rFonts w:hint="eastAsia"/>
          <w:b/>
          <w:bCs/>
          <w:color w:val="44546A" w:themeColor="text2"/>
          <w:sz w:val="28"/>
          <w:szCs w:val="28"/>
          <w:lang w:val="en-US"/>
        </w:rPr>
        <w:t xml:space="preserve">– </w:t>
      </w:r>
      <w:r w:rsidRPr="0087377B">
        <w:rPr>
          <w:color w:val="44546A" w:themeColor="text2"/>
          <w:sz w:val="28"/>
          <w:szCs w:val="28"/>
          <w:lang w:val="en-US"/>
        </w:rPr>
        <w:t>Zero, first, second, third conditionals and wish.</w:t>
      </w:r>
    </w:p>
    <w:p w:rsidR="0087377B" w:rsidRPr="0087377B" w:rsidRDefault="0087377B" w:rsidP="0087377B">
      <w:pPr>
        <w:spacing w:after="120"/>
        <w:textAlignment w:val="baseline"/>
        <w:rPr>
          <w:color w:val="44546A" w:themeColor="text2"/>
          <w:sz w:val="28"/>
          <w:szCs w:val="28"/>
          <w:lang w:val="en-US"/>
        </w:rPr>
      </w:pPr>
      <w:r w:rsidRPr="0087377B">
        <w:rPr>
          <w:color w:val="44546A" w:themeColor="text2"/>
          <w:sz w:val="28"/>
          <w:szCs w:val="28"/>
        </w:rPr>
        <w:t></w:t>
      </w:r>
      <w:r w:rsidRPr="0087377B">
        <w:rPr>
          <w:color w:val="44546A" w:themeColor="text2"/>
          <w:sz w:val="28"/>
          <w:szCs w:val="28"/>
          <w:lang w:val="en-US"/>
        </w:rPr>
        <w:t xml:space="preserve"> </w:t>
      </w:r>
      <w:r w:rsidRPr="0087377B">
        <w:rPr>
          <w:b/>
          <w:bCs/>
          <w:color w:val="44546A" w:themeColor="text2"/>
          <w:sz w:val="28"/>
          <w:szCs w:val="28"/>
          <w:lang w:val="en-US"/>
        </w:rPr>
        <w:t xml:space="preserve">Module 8 </w:t>
      </w:r>
      <w:r w:rsidRPr="0087377B">
        <w:rPr>
          <w:rFonts w:hint="eastAsia"/>
          <w:b/>
          <w:bCs/>
          <w:color w:val="44546A" w:themeColor="text2"/>
          <w:sz w:val="28"/>
          <w:szCs w:val="28"/>
          <w:lang w:val="en-US"/>
        </w:rPr>
        <w:t xml:space="preserve">– </w:t>
      </w:r>
      <w:r w:rsidRPr="0087377B">
        <w:rPr>
          <w:color w:val="44546A" w:themeColor="text2"/>
          <w:sz w:val="28"/>
          <w:szCs w:val="28"/>
          <w:lang w:val="en-US"/>
        </w:rPr>
        <w:t>The passive.</w:t>
      </w:r>
    </w:p>
    <w:p w:rsidR="0087377B" w:rsidRPr="0087377B" w:rsidRDefault="0087377B" w:rsidP="0087377B">
      <w:pPr>
        <w:spacing w:after="120"/>
        <w:textAlignment w:val="baseline"/>
        <w:rPr>
          <w:color w:val="44546A" w:themeColor="text2"/>
          <w:sz w:val="28"/>
          <w:szCs w:val="28"/>
          <w:lang w:val="en-US"/>
        </w:rPr>
      </w:pPr>
      <w:r w:rsidRPr="0087377B">
        <w:rPr>
          <w:color w:val="44546A" w:themeColor="text2"/>
          <w:sz w:val="28"/>
          <w:szCs w:val="28"/>
        </w:rPr>
        <w:t></w:t>
      </w:r>
      <w:r w:rsidRPr="0087377B">
        <w:rPr>
          <w:color w:val="44546A" w:themeColor="text2"/>
          <w:sz w:val="28"/>
          <w:szCs w:val="28"/>
          <w:lang w:val="en-US"/>
        </w:rPr>
        <w:t xml:space="preserve"> </w:t>
      </w:r>
      <w:r w:rsidRPr="0087377B">
        <w:rPr>
          <w:b/>
          <w:bCs/>
          <w:color w:val="44546A" w:themeColor="text2"/>
          <w:sz w:val="28"/>
          <w:szCs w:val="28"/>
          <w:lang w:val="en-US"/>
        </w:rPr>
        <w:t xml:space="preserve">Module 9 </w:t>
      </w:r>
      <w:r w:rsidRPr="0087377B">
        <w:rPr>
          <w:rFonts w:hint="eastAsia"/>
          <w:b/>
          <w:bCs/>
          <w:color w:val="44546A" w:themeColor="text2"/>
          <w:sz w:val="28"/>
          <w:szCs w:val="28"/>
          <w:lang w:val="en-US"/>
        </w:rPr>
        <w:t xml:space="preserve">– </w:t>
      </w:r>
      <w:r w:rsidRPr="0087377B">
        <w:rPr>
          <w:color w:val="44546A" w:themeColor="text2"/>
          <w:sz w:val="28"/>
          <w:szCs w:val="28"/>
          <w:lang w:val="en-US"/>
        </w:rPr>
        <w:t>Collocations, compounds, phrasal verbs and idioms.</w:t>
      </w:r>
    </w:p>
    <w:p w:rsidR="0087377B" w:rsidRPr="0087377B" w:rsidRDefault="0087377B" w:rsidP="0087377B">
      <w:pPr>
        <w:spacing w:after="120"/>
        <w:textAlignment w:val="baseline"/>
        <w:rPr>
          <w:color w:val="44546A" w:themeColor="text2"/>
          <w:sz w:val="28"/>
          <w:szCs w:val="28"/>
          <w:lang w:val="en-US"/>
        </w:rPr>
      </w:pPr>
      <w:r w:rsidRPr="0087377B">
        <w:rPr>
          <w:color w:val="44546A" w:themeColor="text2"/>
          <w:sz w:val="28"/>
          <w:szCs w:val="28"/>
        </w:rPr>
        <w:t></w:t>
      </w:r>
      <w:r w:rsidRPr="0087377B">
        <w:rPr>
          <w:color w:val="44546A" w:themeColor="text2"/>
          <w:sz w:val="28"/>
          <w:szCs w:val="28"/>
          <w:lang w:val="en-US"/>
        </w:rPr>
        <w:t xml:space="preserve"> </w:t>
      </w:r>
      <w:r w:rsidRPr="0087377B">
        <w:rPr>
          <w:b/>
          <w:bCs/>
          <w:color w:val="44546A" w:themeColor="text2"/>
          <w:sz w:val="28"/>
          <w:szCs w:val="28"/>
          <w:lang w:val="en-US"/>
        </w:rPr>
        <w:t xml:space="preserve">Module 10 </w:t>
      </w:r>
      <w:r w:rsidRPr="0087377B">
        <w:rPr>
          <w:rFonts w:hint="eastAsia"/>
          <w:b/>
          <w:bCs/>
          <w:color w:val="44546A" w:themeColor="text2"/>
          <w:sz w:val="28"/>
          <w:szCs w:val="28"/>
          <w:lang w:val="en-US"/>
        </w:rPr>
        <w:t xml:space="preserve">– </w:t>
      </w:r>
      <w:r w:rsidRPr="0087377B">
        <w:rPr>
          <w:color w:val="44546A" w:themeColor="text2"/>
          <w:sz w:val="28"/>
          <w:szCs w:val="28"/>
          <w:lang w:val="en-US"/>
        </w:rPr>
        <w:t>THE definite article, quantifiers and determiners.</w:t>
      </w:r>
    </w:p>
    <w:p w:rsidR="0087377B" w:rsidRPr="0087377B" w:rsidRDefault="0087377B" w:rsidP="0087377B">
      <w:pPr>
        <w:spacing w:after="120"/>
        <w:textAlignment w:val="baseline"/>
        <w:rPr>
          <w:color w:val="44546A" w:themeColor="text2"/>
          <w:sz w:val="28"/>
          <w:szCs w:val="28"/>
          <w:lang w:val="en-US"/>
        </w:rPr>
      </w:pPr>
      <w:r w:rsidRPr="0087377B">
        <w:rPr>
          <w:color w:val="44546A" w:themeColor="text2"/>
          <w:sz w:val="28"/>
          <w:szCs w:val="28"/>
        </w:rPr>
        <w:t></w:t>
      </w:r>
      <w:r w:rsidRPr="0087377B">
        <w:rPr>
          <w:color w:val="44546A" w:themeColor="text2"/>
          <w:sz w:val="28"/>
          <w:szCs w:val="28"/>
          <w:lang w:val="en-US"/>
        </w:rPr>
        <w:t xml:space="preserve"> </w:t>
      </w:r>
      <w:r w:rsidRPr="0087377B">
        <w:rPr>
          <w:b/>
          <w:bCs/>
          <w:color w:val="44546A" w:themeColor="text2"/>
          <w:sz w:val="28"/>
          <w:szCs w:val="28"/>
          <w:lang w:val="en-US"/>
        </w:rPr>
        <w:t xml:space="preserve">Module 11 </w:t>
      </w:r>
      <w:r w:rsidRPr="0087377B">
        <w:rPr>
          <w:rFonts w:hint="eastAsia"/>
          <w:b/>
          <w:bCs/>
          <w:color w:val="44546A" w:themeColor="text2"/>
          <w:sz w:val="28"/>
          <w:szCs w:val="28"/>
          <w:lang w:val="en-US"/>
        </w:rPr>
        <w:t xml:space="preserve">– </w:t>
      </w:r>
      <w:r w:rsidRPr="0087377B">
        <w:rPr>
          <w:color w:val="44546A" w:themeColor="text2"/>
          <w:sz w:val="28"/>
          <w:szCs w:val="28"/>
          <w:lang w:val="en-US"/>
        </w:rPr>
        <w:t>Adjectives and adverbs.</w:t>
      </w:r>
    </w:p>
    <w:p w:rsidR="0087377B" w:rsidRPr="0087377B" w:rsidRDefault="0087377B" w:rsidP="0087377B">
      <w:pPr>
        <w:spacing w:after="120"/>
        <w:textAlignment w:val="baseline"/>
        <w:rPr>
          <w:color w:val="44546A" w:themeColor="text2"/>
          <w:sz w:val="28"/>
          <w:szCs w:val="28"/>
          <w:lang w:val="en-US"/>
        </w:rPr>
      </w:pPr>
      <w:r w:rsidRPr="0087377B">
        <w:rPr>
          <w:color w:val="44546A" w:themeColor="text2"/>
          <w:sz w:val="28"/>
          <w:szCs w:val="28"/>
        </w:rPr>
        <w:t></w:t>
      </w:r>
      <w:r w:rsidRPr="0087377B">
        <w:rPr>
          <w:color w:val="44546A" w:themeColor="text2"/>
          <w:sz w:val="28"/>
          <w:szCs w:val="28"/>
          <w:lang w:val="en-US"/>
        </w:rPr>
        <w:t xml:space="preserve"> </w:t>
      </w:r>
      <w:r w:rsidRPr="0087377B">
        <w:rPr>
          <w:b/>
          <w:bCs/>
          <w:color w:val="44546A" w:themeColor="text2"/>
          <w:sz w:val="28"/>
          <w:szCs w:val="28"/>
          <w:lang w:val="en-US"/>
        </w:rPr>
        <w:t xml:space="preserve">Module 12 </w:t>
      </w:r>
      <w:r w:rsidRPr="0087377B">
        <w:rPr>
          <w:rFonts w:hint="eastAsia"/>
          <w:b/>
          <w:bCs/>
          <w:color w:val="44546A" w:themeColor="text2"/>
          <w:sz w:val="28"/>
          <w:szCs w:val="28"/>
          <w:lang w:val="en-US"/>
        </w:rPr>
        <w:t xml:space="preserve">– </w:t>
      </w:r>
      <w:r w:rsidRPr="0087377B">
        <w:rPr>
          <w:color w:val="44546A" w:themeColor="text2"/>
          <w:sz w:val="28"/>
          <w:szCs w:val="28"/>
          <w:lang w:val="en-US"/>
        </w:rPr>
        <w:t>Conjunctions and prepositions.</w:t>
      </w:r>
    </w:p>
    <w:p w:rsidR="0087377B" w:rsidRPr="0087377B" w:rsidRDefault="0087377B" w:rsidP="0087377B">
      <w:pPr>
        <w:spacing w:after="120"/>
        <w:textAlignment w:val="baseline"/>
        <w:rPr>
          <w:color w:val="44546A" w:themeColor="text2"/>
          <w:sz w:val="28"/>
          <w:szCs w:val="28"/>
          <w:lang w:val="en-US"/>
        </w:rPr>
      </w:pPr>
      <w:r w:rsidRPr="0087377B">
        <w:rPr>
          <w:color w:val="44546A" w:themeColor="text2"/>
          <w:sz w:val="28"/>
          <w:szCs w:val="28"/>
        </w:rPr>
        <w:t></w:t>
      </w:r>
      <w:r w:rsidRPr="0087377B">
        <w:rPr>
          <w:color w:val="44546A" w:themeColor="text2"/>
          <w:sz w:val="28"/>
          <w:szCs w:val="28"/>
          <w:lang w:val="en-US"/>
        </w:rPr>
        <w:t xml:space="preserve"> </w:t>
      </w:r>
      <w:r w:rsidRPr="0087377B">
        <w:rPr>
          <w:b/>
          <w:bCs/>
          <w:color w:val="44546A" w:themeColor="text2"/>
          <w:sz w:val="28"/>
          <w:szCs w:val="28"/>
          <w:lang w:val="en-US"/>
        </w:rPr>
        <w:t xml:space="preserve">Module 13 </w:t>
      </w:r>
      <w:r w:rsidRPr="0087377B">
        <w:rPr>
          <w:rFonts w:hint="eastAsia"/>
          <w:b/>
          <w:bCs/>
          <w:color w:val="44546A" w:themeColor="text2"/>
          <w:sz w:val="28"/>
          <w:szCs w:val="28"/>
          <w:lang w:val="en-US"/>
        </w:rPr>
        <w:t xml:space="preserve">– </w:t>
      </w:r>
      <w:r w:rsidRPr="0087377B">
        <w:rPr>
          <w:color w:val="44546A" w:themeColor="text2"/>
          <w:sz w:val="28"/>
          <w:szCs w:val="28"/>
          <w:lang w:val="en-US"/>
        </w:rPr>
        <w:t>Engineering materials.</w:t>
      </w:r>
    </w:p>
    <w:p w:rsidR="0087377B" w:rsidRPr="0087377B" w:rsidRDefault="0087377B" w:rsidP="0087377B">
      <w:pPr>
        <w:spacing w:after="120"/>
        <w:textAlignment w:val="baseline"/>
        <w:rPr>
          <w:color w:val="44546A" w:themeColor="text2"/>
          <w:sz w:val="28"/>
          <w:szCs w:val="28"/>
          <w:lang w:val="en-US"/>
        </w:rPr>
      </w:pPr>
      <w:r w:rsidRPr="0087377B">
        <w:rPr>
          <w:color w:val="44546A" w:themeColor="text2"/>
          <w:sz w:val="28"/>
          <w:szCs w:val="28"/>
        </w:rPr>
        <w:t></w:t>
      </w:r>
      <w:r w:rsidRPr="0087377B">
        <w:rPr>
          <w:color w:val="44546A" w:themeColor="text2"/>
          <w:sz w:val="28"/>
          <w:szCs w:val="28"/>
          <w:lang w:val="en-US"/>
        </w:rPr>
        <w:t xml:space="preserve"> </w:t>
      </w:r>
      <w:r w:rsidRPr="0087377B">
        <w:rPr>
          <w:b/>
          <w:bCs/>
          <w:color w:val="44546A" w:themeColor="text2"/>
          <w:sz w:val="28"/>
          <w:szCs w:val="28"/>
          <w:lang w:val="en-US"/>
        </w:rPr>
        <w:t xml:space="preserve">Module 14 </w:t>
      </w:r>
      <w:r w:rsidRPr="0087377B">
        <w:rPr>
          <w:rFonts w:hint="eastAsia"/>
          <w:b/>
          <w:bCs/>
          <w:color w:val="44546A" w:themeColor="text2"/>
          <w:sz w:val="28"/>
          <w:szCs w:val="28"/>
          <w:lang w:val="en-US"/>
        </w:rPr>
        <w:t xml:space="preserve">– </w:t>
      </w:r>
      <w:r w:rsidRPr="0087377B">
        <w:rPr>
          <w:color w:val="44546A" w:themeColor="text2"/>
          <w:sz w:val="28"/>
          <w:szCs w:val="28"/>
          <w:lang w:val="en-US"/>
        </w:rPr>
        <w:t>Material properties.</w:t>
      </w:r>
    </w:p>
    <w:p w:rsidR="0087377B" w:rsidRPr="0087377B" w:rsidRDefault="0087377B" w:rsidP="0087377B">
      <w:pPr>
        <w:spacing w:after="120"/>
        <w:textAlignment w:val="baseline"/>
        <w:rPr>
          <w:color w:val="44546A" w:themeColor="text2"/>
          <w:sz w:val="28"/>
          <w:szCs w:val="28"/>
          <w:lang w:val="en-US"/>
        </w:rPr>
      </w:pPr>
      <w:r w:rsidRPr="0087377B">
        <w:rPr>
          <w:color w:val="44546A" w:themeColor="text2"/>
          <w:sz w:val="28"/>
          <w:szCs w:val="28"/>
        </w:rPr>
        <w:t></w:t>
      </w:r>
      <w:r w:rsidRPr="0087377B">
        <w:rPr>
          <w:color w:val="44546A" w:themeColor="text2"/>
          <w:sz w:val="28"/>
          <w:szCs w:val="28"/>
          <w:lang w:val="en-US"/>
        </w:rPr>
        <w:t xml:space="preserve"> </w:t>
      </w:r>
      <w:r w:rsidRPr="0087377B">
        <w:rPr>
          <w:b/>
          <w:bCs/>
          <w:color w:val="44546A" w:themeColor="text2"/>
          <w:sz w:val="28"/>
          <w:szCs w:val="28"/>
          <w:lang w:val="en-US"/>
        </w:rPr>
        <w:t xml:space="preserve">Module 15 </w:t>
      </w:r>
      <w:r w:rsidRPr="0087377B">
        <w:rPr>
          <w:rFonts w:hint="eastAsia"/>
          <w:b/>
          <w:bCs/>
          <w:color w:val="44546A" w:themeColor="text2"/>
          <w:sz w:val="28"/>
          <w:szCs w:val="28"/>
          <w:lang w:val="en-US"/>
        </w:rPr>
        <w:t xml:space="preserve">– </w:t>
      </w:r>
      <w:r w:rsidRPr="0087377B">
        <w:rPr>
          <w:color w:val="44546A" w:themeColor="text2"/>
          <w:sz w:val="28"/>
          <w:szCs w:val="28"/>
          <w:lang w:val="en-US"/>
        </w:rPr>
        <w:t>Reading comprehension.</w:t>
      </w:r>
    </w:p>
    <w:p w:rsidR="0087377B" w:rsidRPr="0087377B" w:rsidRDefault="0087377B" w:rsidP="0087377B">
      <w:pPr>
        <w:spacing w:after="120"/>
        <w:textAlignment w:val="baseline"/>
        <w:rPr>
          <w:color w:val="44546A" w:themeColor="text2"/>
          <w:sz w:val="28"/>
          <w:szCs w:val="28"/>
          <w:lang w:val="en-US"/>
        </w:rPr>
      </w:pPr>
      <w:r w:rsidRPr="0087377B">
        <w:rPr>
          <w:color w:val="44546A" w:themeColor="text2"/>
          <w:sz w:val="28"/>
          <w:szCs w:val="28"/>
        </w:rPr>
        <w:t></w:t>
      </w:r>
      <w:r w:rsidRPr="0087377B">
        <w:rPr>
          <w:color w:val="44546A" w:themeColor="text2"/>
          <w:sz w:val="28"/>
          <w:szCs w:val="28"/>
          <w:lang w:val="en-US"/>
        </w:rPr>
        <w:t xml:space="preserve"> </w:t>
      </w:r>
      <w:r w:rsidRPr="0087377B">
        <w:rPr>
          <w:b/>
          <w:bCs/>
          <w:color w:val="44546A" w:themeColor="text2"/>
          <w:sz w:val="28"/>
          <w:szCs w:val="28"/>
          <w:lang w:val="en-US"/>
        </w:rPr>
        <w:t xml:space="preserve">Module 16 </w:t>
      </w:r>
      <w:r w:rsidRPr="0087377B">
        <w:rPr>
          <w:rFonts w:hint="eastAsia"/>
          <w:b/>
          <w:bCs/>
          <w:color w:val="44546A" w:themeColor="text2"/>
          <w:sz w:val="28"/>
          <w:szCs w:val="28"/>
          <w:lang w:val="en-US"/>
        </w:rPr>
        <w:t xml:space="preserve">– </w:t>
      </w:r>
      <w:r w:rsidRPr="0087377B">
        <w:rPr>
          <w:color w:val="44546A" w:themeColor="text2"/>
          <w:sz w:val="28"/>
          <w:szCs w:val="28"/>
          <w:lang w:val="en-US"/>
        </w:rPr>
        <w:t>Strength and stiffness.</w:t>
      </w:r>
    </w:p>
    <w:p w:rsidR="0087377B" w:rsidRPr="0087377B" w:rsidRDefault="0087377B" w:rsidP="0087377B">
      <w:pPr>
        <w:spacing w:after="120"/>
        <w:textAlignment w:val="baseline"/>
        <w:rPr>
          <w:color w:val="44546A" w:themeColor="text2"/>
          <w:sz w:val="28"/>
          <w:szCs w:val="28"/>
          <w:lang w:val="en-US"/>
        </w:rPr>
      </w:pPr>
      <w:r w:rsidRPr="0087377B">
        <w:rPr>
          <w:color w:val="44546A" w:themeColor="text2"/>
          <w:sz w:val="28"/>
          <w:szCs w:val="28"/>
        </w:rPr>
        <w:t></w:t>
      </w:r>
      <w:r w:rsidRPr="0087377B">
        <w:rPr>
          <w:color w:val="44546A" w:themeColor="text2"/>
          <w:sz w:val="28"/>
          <w:szCs w:val="28"/>
          <w:lang w:val="en-US"/>
        </w:rPr>
        <w:t xml:space="preserve"> </w:t>
      </w:r>
      <w:r w:rsidRPr="0087377B">
        <w:rPr>
          <w:b/>
          <w:bCs/>
          <w:color w:val="44546A" w:themeColor="text2"/>
          <w:sz w:val="28"/>
          <w:szCs w:val="28"/>
          <w:lang w:val="en-US"/>
        </w:rPr>
        <w:t xml:space="preserve">Module 17 </w:t>
      </w:r>
      <w:r w:rsidRPr="0087377B">
        <w:rPr>
          <w:rFonts w:hint="eastAsia"/>
          <w:b/>
          <w:bCs/>
          <w:color w:val="44546A" w:themeColor="text2"/>
          <w:sz w:val="28"/>
          <w:szCs w:val="28"/>
          <w:lang w:val="en-US"/>
        </w:rPr>
        <w:t xml:space="preserve">– </w:t>
      </w:r>
      <w:r w:rsidRPr="0087377B">
        <w:rPr>
          <w:color w:val="44546A" w:themeColor="text2"/>
          <w:sz w:val="28"/>
          <w:szCs w:val="28"/>
          <w:lang w:val="en-US"/>
        </w:rPr>
        <w:t>Some manufacturing processes.</w:t>
      </w:r>
    </w:p>
    <w:p w:rsidR="0087377B" w:rsidRPr="0087377B" w:rsidRDefault="0087377B" w:rsidP="0087377B">
      <w:pPr>
        <w:spacing w:after="120"/>
        <w:textAlignment w:val="baseline"/>
        <w:rPr>
          <w:color w:val="44546A" w:themeColor="text2"/>
          <w:sz w:val="28"/>
          <w:szCs w:val="28"/>
          <w:lang w:val="en-US"/>
        </w:rPr>
      </w:pPr>
      <w:r w:rsidRPr="0087377B">
        <w:rPr>
          <w:color w:val="44546A" w:themeColor="text2"/>
          <w:sz w:val="28"/>
          <w:szCs w:val="28"/>
        </w:rPr>
        <w:t></w:t>
      </w:r>
      <w:r w:rsidRPr="0087377B">
        <w:rPr>
          <w:color w:val="44546A" w:themeColor="text2"/>
          <w:sz w:val="28"/>
          <w:szCs w:val="28"/>
          <w:lang w:val="en-US"/>
        </w:rPr>
        <w:t xml:space="preserve"> </w:t>
      </w:r>
      <w:r w:rsidRPr="0087377B">
        <w:rPr>
          <w:b/>
          <w:bCs/>
          <w:color w:val="44546A" w:themeColor="text2"/>
          <w:sz w:val="28"/>
          <w:szCs w:val="28"/>
          <w:lang w:val="en-US"/>
        </w:rPr>
        <w:t xml:space="preserve">Module 18 </w:t>
      </w:r>
      <w:r w:rsidRPr="0087377B">
        <w:rPr>
          <w:rFonts w:hint="eastAsia"/>
          <w:b/>
          <w:bCs/>
          <w:color w:val="44546A" w:themeColor="text2"/>
          <w:sz w:val="28"/>
          <w:szCs w:val="28"/>
          <w:lang w:val="en-US"/>
        </w:rPr>
        <w:t xml:space="preserve">– </w:t>
      </w:r>
      <w:r w:rsidRPr="0087377B">
        <w:rPr>
          <w:color w:val="44546A" w:themeColor="text2"/>
          <w:sz w:val="28"/>
          <w:szCs w:val="28"/>
          <w:lang w:val="en-US"/>
        </w:rPr>
        <w:t>A case study: an arctic oil platform.</w:t>
      </w:r>
    </w:p>
    <w:p w:rsidR="0087377B" w:rsidRPr="0087377B" w:rsidRDefault="0087377B" w:rsidP="0087377B">
      <w:pPr>
        <w:rPr>
          <w:b/>
          <w:color w:val="44546A" w:themeColor="text2"/>
          <w:sz w:val="28"/>
          <w:szCs w:val="28"/>
          <w:lang w:val="en-US"/>
        </w:rPr>
      </w:pPr>
      <w:r w:rsidRPr="0087377B">
        <w:rPr>
          <w:color w:val="44546A" w:themeColor="text2"/>
          <w:sz w:val="28"/>
          <w:szCs w:val="28"/>
        </w:rPr>
        <w:t></w:t>
      </w:r>
      <w:r w:rsidRPr="0087377B">
        <w:rPr>
          <w:color w:val="44546A" w:themeColor="text2"/>
          <w:sz w:val="28"/>
          <w:szCs w:val="28"/>
          <w:lang w:val="en-US"/>
        </w:rPr>
        <w:t xml:space="preserve"> </w:t>
      </w:r>
      <w:r w:rsidRPr="0087377B">
        <w:rPr>
          <w:b/>
          <w:bCs/>
          <w:color w:val="44546A" w:themeColor="text2"/>
          <w:sz w:val="28"/>
          <w:szCs w:val="28"/>
          <w:lang w:val="en-US"/>
        </w:rPr>
        <w:t xml:space="preserve">Module 19 </w:t>
      </w:r>
      <w:r w:rsidR="00751F62">
        <w:rPr>
          <w:b/>
          <w:bCs/>
          <w:color w:val="44546A" w:themeColor="text2"/>
          <w:sz w:val="28"/>
          <w:szCs w:val="28"/>
          <w:lang w:val="en-US"/>
        </w:rPr>
        <w:t>–</w:t>
      </w:r>
      <w:r w:rsidRPr="0087377B">
        <w:rPr>
          <w:b/>
          <w:bCs/>
          <w:color w:val="44546A" w:themeColor="text2"/>
          <w:sz w:val="28"/>
          <w:szCs w:val="28"/>
          <w:lang w:val="en-US"/>
        </w:rPr>
        <w:t xml:space="preserve"> </w:t>
      </w:r>
      <w:r w:rsidRPr="0087377B">
        <w:rPr>
          <w:bCs/>
          <w:color w:val="44546A" w:themeColor="text2"/>
          <w:sz w:val="28"/>
          <w:szCs w:val="28"/>
          <w:lang w:val="en-GB"/>
        </w:rPr>
        <w:t>Reading</w:t>
      </w:r>
      <w:r w:rsidR="00751F62">
        <w:rPr>
          <w:bCs/>
          <w:color w:val="44546A" w:themeColor="text2"/>
          <w:sz w:val="28"/>
          <w:szCs w:val="28"/>
          <w:lang w:val="en-GB"/>
        </w:rPr>
        <w:t xml:space="preserve"> and Listening Comprehension - </w:t>
      </w:r>
      <w:r w:rsidRPr="0087377B">
        <w:rPr>
          <w:bCs/>
          <w:color w:val="44546A" w:themeColor="text2"/>
          <w:sz w:val="28"/>
          <w:szCs w:val="28"/>
          <w:lang w:val="en-GB"/>
        </w:rPr>
        <w:t>skill</w:t>
      </w:r>
      <w:r w:rsidR="00751F62">
        <w:rPr>
          <w:bCs/>
          <w:color w:val="44546A" w:themeColor="text2"/>
          <w:sz w:val="28"/>
          <w:szCs w:val="28"/>
          <w:lang w:val="en-GB"/>
        </w:rPr>
        <w:t>s</w:t>
      </w:r>
      <w:bookmarkStart w:id="0" w:name="_GoBack"/>
      <w:bookmarkEnd w:id="0"/>
      <w:r w:rsidRPr="0087377B">
        <w:rPr>
          <w:bCs/>
          <w:color w:val="44546A" w:themeColor="text2"/>
          <w:sz w:val="28"/>
          <w:szCs w:val="28"/>
          <w:lang w:val="en-GB"/>
        </w:rPr>
        <w:t xml:space="preserve"> to improve</w:t>
      </w:r>
    </w:p>
    <w:p w:rsidR="00F7040F" w:rsidRPr="0087377B" w:rsidRDefault="00F7040F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Evaluation system and criteria</w:t>
      </w:r>
    </w:p>
    <w:p w:rsidR="008354DC" w:rsidRPr="00835700" w:rsidRDefault="00F7040F" w:rsidP="00835700">
      <w:p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The exam consists of a written test containing open-ended and/or close-ended questions (65 items). A candidate gets 0,5 points for each correct answer; no penalty for wrong answers.</w:t>
      </w:r>
    </w:p>
    <w:p w:rsidR="00C64622" w:rsidRDefault="00C64622" w:rsidP="00C64622">
      <w:p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lastRenderedPageBreak/>
        <w:t>As far as the e-</w:t>
      </w:r>
      <w:proofErr w:type="spellStart"/>
      <w:r>
        <w:rPr>
          <w:color w:val="44546A" w:themeColor="text2"/>
          <w:sz w:val="28"/>
          <w:szCs w:val="28"/>
          <w:lang w:val="en-US"/>
        </w:rPr>
        <w:t>tivity</w:t>
      </w:r>
      <w:proofErr w:type="spellEnd"/>
      <w:r>
        <w:rPr>
          <w:color w:val="44546A" w:themeColor="text2"/>
          <w:sz w:val="28"/>
          <w:szCs w:val="28"/>
          <w:lang w:val="en-US"/>
        </w:rPr>
        <w:t xml:space="preserve"> (which is in the FORUM from AREA COLLABORATIVA) is concerned, the grading system is based on the system of the four points: 0 (unsatisfactory), 1 (satisfactory), 2 (good), 3 (excellent)</w:t>
      </w:r>
    </w:p>
    <w:p w:rsidR="00DA501F" w:rsidRPr="008354DC" w:rsidRDefault="00DA501F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Pr="008354DC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Bibliography and resources</w:t>
      </w:r>
    </w:p>
    <w:p w:rsidR="008354DC" w:rsidRPr="00242176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 w:hint="eastAsia"/>
          <w:bCs/>
          <w:color w:val="44546A" w:themeColor="text2"/>
          <w:sz w:val="18"/>
          <w:lang w:val="en-US"/>
        </w:rPr>
        <w:t>●</w:t>
      </w: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Mark Ibbotson, Professional English in Use Engineering, Cambridge University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>Press, 2015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 w:hint="eastAsia"/>
          <w:bCs/>
          <w:color w:val="44546A" w:themeColor="text2"/>
          <w:sz w:val="18"/>
          <w:lang w:val="en-US"/>
        </w:rPr>
        <w:t>●</w:t>
      </w: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Mark Ibbotson, Cambridge English for Engineering, Cambridge University Press,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>2014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 w:hint="eastAsia"/>
          <w:bCs/>
          <w:color w:val="44546A" w:themeColor="text2"/>
          <w:sz w:val="18"/>
          <w:lang w:val="en-US"/>
        </w:rPr>
        <w:t>●</w:t>
      </w: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Peter Astley &amp; Lewis Lansford, Oxford English for Careers Engineering 1, Oxford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>University Press, 2013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 w:hint="eastAsia"/>
          <w:bCs/>
          <w:color w:val="44546A" w:themeColor="text2"/>
          <w:sz w:val="18"/>
          <w:lang w:val="en-US"/>
        </w:rPr>
        <w:t>●</w:t>
      </w: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Raymond Murphy, English Grammar in Use, Cambridge, 2012. CEF Level: B1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>Intermediate – B2 High Intermediate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 w:hint="eastAsia"/>
          <w:bCs/>
          <w:color w:val="44546A" w:themeColor="text2"/>
          <w:sz w:val="18"/>
          <w:lang w:val="en-US"/>
        </w:rPr>
        <w:t>●</w:t>
      </w: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Judy Pearsall and Patrick Hanks, The New Oxford Dictionary of English, Oxford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>University Press, 1999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 w:hint="eastAsia"/>
          <w:bCs/>
          <w:color w:val="44546A" w:themeColor="text2"/>
          <w:sz w:val="18"/>
          <w:lang w:val="en-US"/>
        </w:rPr>
        <w:t>●</w:t>
      </w: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www.wordreference.com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 w:hint="eastAsia"/>
          <w:bCs/>
          <w:color w:val="44546A" w:themeColor="text2"/>
          <w:sz w:val="18"/>
          <w:lang w:val="en-US"/>
        </w:rPr>
        <w:t>●</w:t>
      </w: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mobile.reverso.net</w:t>
      </w:r>
    </w:p>
    <w:p w:rsidR="001A255D" w:rsidRPr="00242176" w:rsidRDefault="001A255D" w:rsidP="00242176">
      <w:pPr>
        <w:rPr>
          <w:color w:val="44546A" w:themeColor="text2"/>
          <w:sz w:val="28"/>
          <w:szCs w:val="28"/>
          <w:lang w:val="en-US"/>
        </w:rPr>
      </w:pPr>
    </w:p>
    <w:p w:rsidR="00BC327E" w:rsidRPr="008354DC" w:rsidRDefault="00BC327E" w:rsidP="001A255D">
      <w:pPr>
        <w:jc w:val="both"/>
        <w:rPr>
          <w:b/>
          <w:color w:val="44546A" w:themeColor="text2"/>
          <w:lang w:val="en-US"/>
        </w:rPr>
      </w:pPr>
    </w:p>
    <w:sectPr w:rsidR="00BC327E" w:rsidRPr="008354DC" w:rsidSect="00140F90">
      <w:headerReference w:type="even" r:id="rId8"/>
      <w:headerReference w:type="default" r:id="rId9"/>
      <w:pgSz w:w="11900" w:h="16840"/>
      <w:pgMar w:top="1815" w:right="1134" w:bottom="1134" w:left="1134" w:header="907" w:footer="737" w:gutter="0"/>
      <w:pgBorders w:offsetFrom="page">
        <w:top w:val="thinThickSmallGap" w:sz="24" w:space="31" w:color="9CC2E5" w:themeColor="accent1" w:themeTint="99"/>
        <w:left w:val="thinThickSmallGap" w:sz="24" w:space="31" w:color="9CC2E5" w:themeColor="accent1" w:themeTint="99"/>
        <w:bottom w:val="thickThinSmallGap" w:sz="24" w:space="31" w:color="9CC2E5" w:themeColor="accent1" w:themeTint="99"/>
        <w:right w:val="thickThinSmallGap" w:sz="24" w:space="31" w:color="9CC2E5" w:themeColor="accent1" w:themeTint="99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5C" w:rsidRDefault="0036435C" w:rsidP="004C1049">
      <w:r>
        <w:separator/>
      </w:r>
    </w:p>
  </w:endnote>
  <w:endnote w:type="continuationSeparator" w:id="0">
    <w:p w:rsidR="0036435C" w:rsidRDefault="0036435C" w:rsidP="004C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5C" w:rsidRDefault="0036435C" w:rsidP="004C1049">
      <w:r>
        <w:separator/>
      </w:r>
    </w:p>
  </w:footnote>
  <w:footnote w:type="continuationSeparator" w:id="0">
    <w:p w:rsidR="0036435C" w:rsidRDefault="0036435C" w:rsidP="004C1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23" w:rsidRDefault="002C7C23">
    <w:pPr>
      <w:pStyle w:val="Intestazione"/>
    </w:pPr>
  </w:p>
  <w:p w:rsidR="00146026" w:rsidRDefault="00146026"/>
  <w:p w:rsidR="002C7C23" w:rsidRDefault="002C7C23"/>
  <w:p w:rsidR="002C7C23" w:rsidRDefault="002C7C23"/>
  <w:p w:rsidR="002C7C23" w:rsidRDefault="002C7C23"/>
  <w:p w:rsidR="002C7C23" w:rsidRDefault="002C7C23"/>
  <w:p w:rsidR="002C7C23" w:rsidRDefault="002C7C23"/>
  <w:p w:rsidR="002C7C23" w:rsidRDefault="002C7C23"/>
  <w:p w:rsidR="002C7C23" w:rsidRDefault="002C7C23"/>
  <w:p w:rsidR="002C7C23" w:rsidRDefault="002C7C23"/>
  <w:p w:rsidR="002C7C23" w:rsidRDefault="002C7C2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4DC" w:rsidRDefault="008354DC" w:rsidP="002C7C2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4005451</wp:posOffset>
          </wp:positionH>
          <wp:positionV relativeFrom="paragraph">
            <wp:posOffset>-82984</wp:posOffset>
          </wp:positionV>
          <wp:extent cx="2204252" cy="577515"/>
          <wp:effectExtent l="19050" t="0" r="5548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grafica/Desktop/Schermata 2018-10-25 alle 12.19.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4252" cy="57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462"/>
    <w:multiLevelType w:val="multilevel"/>
    <w:tmpl w:val="7BE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C637C"/>
    <w:multiLevelType w:val="hybridMultilevel"/>
    <w:tmpl w:val="114AB0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D1329"/>
    <w:multiLevelType w:val="hybridMultilevel"/>
    <w:tmpl w:val="614AC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49"/>
    <w:rsid w:val="00027111"/>
    <w:rsid w:val="000445AD"/>
    <w:rsid w:val="00091A5D"/>
    <w:rsid w:val="00091F57"/>
    <w:rsid w:val="00140F90"/>
    <w:rsid w:val="00146026"/>
    <w:rsid w:val="001623CC"/>
    <w:rsid w:val="0017138E"/>
    <w:rsid w:val="00193F68"/>
    <w:rsid w:val="001A255D"/>
    <w:rsid w:val="001D4504"/>
    <w:rsid w:val="001E157B"/>
    <w:rsid w:val="0021231E"/>
    <w:rsid w:val="00242176"/>
    <w:rsid w:val="002C7C23"/>
    <w:rsid w:val="00314354"/>
    <w:rsid w:val="00327FE9"/>
    <w:rsid w:val="0036435C"/>
    <w:rsid w:val="003F78A4"/>
    <w:rsid w:val="004C1049"/>
    <w:rsid w:val="004D2A84"/>
    <w:rsid w:val="00560B93"/>
    <w:rsid w:val="00585F2A"/>
    <w:rsid w:val="005C2F38"/>
    <w:rsid w:val="006C2BFA"/>
    <w:rsid w:val="00711AA2"/>
    <w:rsid w:val="00751F62"/>
    <w:rsid w:val="008354DC"/>
    <w:rsid w:val="00835700"/>
    <w:rsid w:val="0087377B"/>
    <w:rsid w:val="00891E9A"/>
    <w:rsid w:val="008F64D3"/>
    <w:rsid w:val="0094601A"/>
    <w:rsid w:val="009A6947"/>
    <w:rsid w:val="00A64DA1"/>
    <w:rsid w:val="00B10DA4"/>
    <w:rsid w:val="00B854A7"/>
    <w:rsid w:val="00BB3406"/>
    <w:rsid w:val="00BC327E"/>
    <w:rsid w:val="00C377CA"/>
    <w:rsid w:val="00C6126E"/>
    <w:rsid w:val="00C64622"/>
    <w:rsid w:val="00CE2ABA"/>
    <w:rsid w:val="00D50A30"/>
    <w:rsid w:val="00DA501F"/>
    <w:rsid w:val="00E1236B"/>
    <w:rsid w:val="00E91035"/>
    <w:rsid w:val="00EA29CE"/>
    <w:rsid w:val="00EB6B04"/>
    <w:rsid w:val="00EC7A34"/>
    <w:rsid w:val="00F657B2"/>
    <w:rsid w:val="00F7040F"/>
    <w:rsid w:val="00F7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3669C"/>
  <w15:docId w15:val="{6FF830CA-6566-462B-95EB-E5209DAC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0DA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10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049"/>
  </w:style>
  <w:style w:type="paragraph" w:styleId="Pidipagina">
    <w:name w:val="footer"/>
    <w:basedOn w:val="Normale"/>
    <w:link w:val="PidipaginaCarattere"/>
    <w:uiPriority w:val="99"/>
    <w:unhideWhenUsed/>
    <w:rsid w:val="004C10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049"/>
  </w:style>
  <w:style w:type="character" w:styleId="Collegamentoipertestuale">
    <w:name w:val="Hyperlink"/>
    <w:basedOn w:val="Carpredefinitoparagrafo"/>
    <w:uiPriority w:val="99"/>
    <w:unhideWhenUsed/>
    <w:rsid w:val="001A255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A25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1A255D"/>
    <w:rPr>
      <w:b/>
      <w:bCs/>
    </w:rPr>
  </w:style>
  <w:style w:type="paragraph" w:styleId="Paragrafoelenco">
    <w:name w:val="List Paragraph"/>
    <w:basedOn w:val="Normale"/>
    <w:uiPriority w:val="34"/>
    <w:qFormat/>
    <w:rsid w:val="0089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9BABE0-595A-4AD2-A794-A99BEFE4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Gaia</cp:lastModifiedBy>
  <cp:revision>2</cp:revision>
  <cp:lastPrinted>2018-10-26T09:35:00Z</cp:lastPrinted>
  <dcterms:created xsi:type="dcterms:W3CDTF">2025-05-27T12:37:00Z</dcterms:created>
  <dcterms:modified xsi:type="dcterms:W3CDTF">2025-05-27T12:37:00Z</dcterms:modified>
</cp:coreProperties>
</file>