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0931" w14:textId="77777777" w:rsidR="002C7C23" w:rsidRDefault="002C7C23" w:rsidP="001A255D"/>
    <w:p w14:paraId="48B0622F" w14:textId="77777777" w:rsidR="001A255D" w:rsidRDefault="008F0988" w:rsidP="001A255D">
      <w:pPr>
        <w:rPr>
          <w:b/>
          <w:color w:val="44546A" w:themeColor="text2"/>
          <w:sz w:val="28"/>
          <w:szCs w:val="28"/>
          <w:lang w:val="en-U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4E15D9" wp14:editId="30A8F6FB">
                <wp:simplePos x="0" y="0"/>
                <wp:positionH relativeFrom="column">
                  <wp:posOffset>-22225</wp:posOffset>
                </wp:positionH>
                <wp:positionV relativeFrom="paragraph">
                  <wp:posOffset>80645</wp:posOffset>
                </wp:positionV>
                <wp:extent cx="6123940" cy="1203325"/>
                <wp:effectExtent l="6350" t="13970" r="1333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456BC" w14:textId="0574D58F" w:rsidR="008354DC" w:rsidRPr="001A255D" w:rsidRDefault="008354DC" w:rsidP="008354DC">
                            <w:pP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DA501F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</w:p>
                          <w:p w14:paraId="3A305B24" w14:textId="15FCBB4D" w:rsidR="008354DC" w:rsidRPr="001A255D" w:rsidRDefault="000B414F" w:rsidP="008354DC">
                            <w:pP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>Course</w:t>
                            </w:r>
                            <w:r w:rsidR="008354DC" w:rsidRPr="001A255D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 xml:space="preserve">: </w:t>
                            </w:r>
                            <w:r w:rsidR="007F4E5E" w:rsidRPr="007F4E5E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 xml:space="preserve">Technology and innovation for the </w:t>
                            </w:r>
                            <w:r w:rsidR="007F4E5E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>twin</w:t>
                            </w:r>
                            <w:r w:rsidR="007F4E5E" w:rsidRPr="007F4E5E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 xml:space="preserve"> transition</w:t>
                            </w:r>
                            <w:r w:rsidR="007F4E5E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 xml:space="preserve">               </w:t>
                            </w:r>
                            <w:r w:rsidR="00961E0D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>Credits:  9</w:t>
                            </w:r>
                          </w:p>
                          <w:p w14:paraId="6C253CD5" w14:textId="77777777" w:rsidR="008354DC" w:rsidRPr="001A255D" w:rsidRDefault="008354DC" w:rsidP="008354DC">
                            <w:pP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A255D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 xml:space="preserve">Main language of instruction: </w:t>
                            </w:r>
                            <w: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585F2A">
                              <w:rPr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>Italian</w:t>
                            </w:r>
                          </w:p>
                          <w:p w14:paraId="6B9B9F87" w14:textId="77777777" w:rsidR="008354DC" w:rsidRPr="001A255D" w:rsidRDefault="008354DC" w:rsidP="008354DC">
                            <w:pP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A255D"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 xml:space="preserve">Other language of instruction: </w:t>
                            </w:r>
                            <w:r w:rsidRPr="00585F2A">
                              <w:rPr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  <w:t>English</w:t>
                            </w:r>
                          </w:p>
                          <w:p w14:paraId="4C43EA77" w14:textId="77777777" w:rsidR="008354DC" w:rsidRPr="001A255D" w:rsidRDefault="008354DC" w:rsidP="008354DC">
                            <w:pPr>
                              <w:rPr>
                                <w:b/>
                                <w:color w:val="44546A" w:themeColor="text2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486AAC6" w14:textId="77777777" w:rsidR="008354DC" w:rsidRPr="008354DC" w:rsidRDefault="008354D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E15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75pt;margin-top:6.35pt;width:482.2pt;height:9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" strokecolor="#44546a [3215]">
                <v:textbox>
                  <w:txbxContent>
                    <w:p w14:paraId="707456BC" w14:textId="0574D58F" w:rsidR="008354DC" w:rsidRPr="001A255D" w:rsidRDefault="008354DC" w:rsidP="008354DC">
                      <w:pP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ab/>
                      </w:r>
                      <w:r w:rsidR="00DA501F"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ab/>
                      </w:r>
                    </w:p>
                    <w:p w14:paraId="3A305B24" w14:textId="15FCBB4D" w:rsidR="008354DC" w:rsidRPr="001A255D" w:rsidRDefault="000B414F" w:rsidP="008354DC">
                      <w:pP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>Course</w:t>
                      </w:r>
                      <w:r w:rsidR="008354DC" w:rsidRPr="001A255D"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 xml:space="preserve">: </w:t>
                      </w:r>
                      <w:r w:rsidR="007F4E5E" w:rsidRPr="007F4E5E"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 xml:space="preserve">Technology and innovation for the </w:t>
                      </w:r>
                      <w:r w:rsidR="007F4E5E"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>twin</w:t>
                      </w:r>
                      <w:r w:rsidR="007F4E5E" w:rsidRPr="007F4E5E"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 xml:space="preserve"> transition</w:t>
                      </w:r>
                      <w:r w:rsidR="007F4E5E"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 xml:space="preserve">               </w:t>
                      </w:r>
                      <w:r w:rsidR="00961E0D"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>Credits:  9</w:t>
                      </w:r>
                    </w:p>
                    <w:p w14:paraId="6C253CD5" w14:textId="77777777" w:rsidR="008354DC" w:rsidRPr="001A255D" w:rsidRDefault="008354DC" w:rsidP="008354DC">
                      <w:pP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</w:pPr>
                      <w:r w:rsidRPr="001A255D"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 xml:space="preserve">Main language of instruction: </w:t>
                      </w:r>
                      <w: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585F2A">
                        <w:rPr>
                          <w:color w:val="44546A" w:themeColor="text2"/>
                          <w:sz w:val="28"/>
                          <w:szCs w:val="28"/>
                          <w:lang w:val="en-US"/>
                        </w:rPr>
                        <w:t>Italian</w:t>
                      </w:r>
                    </w:p>
                    <w:p w14:paraId="6B9B9F87" w14:textId="77777777" w:rsidR="008354DC" w:rsidRPr="001A255D" w:rsidRDefault="008354DC" w:rsidP="008354DC">
                      <w:pP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</w:pPr>
                      <w:r w:rsidRPr="001A255D"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  <w:t xml:space="preserve">Other language of instruction: </w:t>
                      </w:r>
                      <w:r w:rsidRPr="00585F2A">
                        <w:rPr>
                          <w:color w:val="44546A" w:themeColor="text2"/>
                          <w:sz w:val="28"/>
                          <w:szCs w:val="28"/>
                          <w:lang w:val="en-US"/>
                        </w:rPr>
                        <w:t>English</w:t>
                      </w:r>
                    </w:p>
                    <w:p w14:paraId="4C43EA77" w14:textId="77777777" w:rsidR="008354DC" w:rsidRPr="001A255D" w:rsidRDefault="008354DC" w:rsidP="008354DC">
                      <w:pPr>
                        <w:rPr>
                          <w:b/>
                          <w:color w:val="44546A" w:themeColor="text2"/>
                          <w:sz w:val="28"/>
                          <w:szCs w:val="28"/>
                          <w:lang w:val="en-US"/>
                        </w:rPr>
                      </w:pPr>
                    </w:p>
                    <w:p w14:paraId="6486AAC6" w14:textId="77777777" w:rsidR="008354DC" w:rsidRPr="008354DC" w:rsidRDefault="008354D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B3920F" w14:textId="77777777" w:rsidR="008354DC" w:rsidRDefault="008354DC" w:rsidP="001A255D">
      <w:pPr>
        <w:rPr>
          <w:b/>
          <w:color w:val="44546A" w:themeColor="text2"/>
          <w:sz w:val="28"/>
          <w:szCs w:val="28"/>
          <w:lang w:val="en-US"/>
        </w:rPr>
      </w:pPr>
    </w:p>
    <w:p w14:paraId="50F717AC" w14:textId="77777777" w:rsidR="008354DC" w:rsidRDefault="008354DC" w:rsidP="001A255D">
      <w:pPr>
        <w:rPr>
          <w:b/>
          <w:color w:val="44546A" w:themeColor="text2"/>
          <w:sz w:val="28"/>
          <w:szCs w:val="28"/>
          <w:lang w:val="en-US"/>
        </w:rPr>
      </w:pPr>
    </w:p>
    <w:p w14:paraId="3254139A" w14:textId="77777777" w:rsidR="008354DC" w:rsidRDefault="008354DC" w:rsidP="001A255D">
      <w:pPr>
        <w:rPr>
          <w:b/>
          <w:color w:val="44546A" w:themeColor="text2"/>
          <w:sz w:val="28"/>
          <w:szCs w:val="28"/>
          <w:lang w:val="en-US"/>
        </w:rPr>
      </w:pPr>
    </w:p>
    <w:p w14:paraId="5E80C6EC" w14:textId="77777777" w:rsidR="008354DC" w:rsidRDefault="008354DC" w:rsidP="001A255D">
      <w:pPr>
        <w:rPr>
          <w:b/>
          <w:color w:val="44546A" w:themeColor="text2"/>
          <w:sz w:val="28"/>
          <w:szCs w:val="28"/>
          <w:lang w:val="en-US"/>
        </w:rPr>
      </w:pPr>
    </w:p>
    <w:p w14:paraId="0D5C2C9F" w14:textId="77777777" w:rsidR="008354DC" w:rsidRDefault="008354DC" w:rsidP="001A255D">
      <w:pPr>
        <w:rPr>
          <w:b/>
          <w:color w:val="44546A" w:themeColor="text2"/>
          <w:sz w:val="28"/>
          <w:szCs w:val="28"/>
          <w:lang w:val="en-US"/>
        </w:rPr>
      </w:pPr>
    </w:p>
    <w:p w14:paraId="25698D0D" w14:textId="77777777" w:rsidR="003D6D8A" w:rsidRDefault="003D6D8A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</w:p>
    <w:p w14:paraId="4E9C3565" w14:textId="77777777" w:rsidR="001A255D" w:rsidRPr="00544FFA" w:rsidRDefault="001A255D" w:rsidP="001A255D">
      <w:pPr>
        <w:rPr>
          <w:b/>
          <w:color w:val="44546A" w:themeColor="text2"/>
          <w:sz w:val="28"/>
          <w:szCs w:val="28"/>
          <w:u w:val="single"/>
        </w:rPr>
      </w:pPr>
      <w:r w:rsidRPr="00544FFA">
        <w:rPr>
          <w:b/>
          <w:color w:val="44546A" w:themeColor="text2"/>
          <w:sz w:val="28"/>
          <w:szCs w:val="28"/>
          <w:u w:val="single"/>
        </w:rPr>
        <w:t xml:space="preserve">Head </w:t>
      </w:r>
      <w:proofErr w:type="spellStart"/>
      <w:r w:rsidRPr="00544FFA">
        <w:rPr>
          <w:b/>
          <w:color w:val="44546A" w:themeColor="text2"/>
          <w:sz w:val="28"/>
          <w:szCs w:val="28"/>
          <w:u w:val="single"/>
        </w:rPr>
        <w:t>instructor</w:t>
      </w:r>
      <w:proofErr w:type="spellEnd"/>
    </w:p>
    <w:p w14:paraId="59B9434C" w14:textId="73ECCAF9" w:rsidR="001A255D" w:rsidRPr="00961E0D" w:rsidRDefault="001A255D" w:rsidP="001A255D">
      <w:pPr>
        <w:rPr>
          <w:b/>
          <w:color w:val="44546A" w:themeColor="text2"/>
          <w:sz w:val="28"/>
          <w:szCs w:val="28"/>
        </w:rPr>
      </w:pPr>
      <w:r w:rsidRPr="00961E0D">
        <w:rPr>
          <w:b/>
          <w:color w:val="44546A" w:themeColor="text2"/>
          <w:sz w:val="28"/>
          <w:szCs w:val="28"/>
        </w:rPr>
        <w:t>Prof</w:t>
      </w:r>
      <w:r w:rsidR="003D6D8A" w:rsidRPr="00961E0D">
        <w:rPr>
          <w:b/>
          <w:color w:val="44546A" w:themeColor="text2"/>
          <w:sz w:val="28"/>
          <w:szCs w:val="28"/>
        </w:rPr>
        <w:t>essor</w:t>
      </w:r>
      <w:r w:rsidRPr="00961E0D">
        <w:rPr>
          <w:b/>
          <w:color w:val="44546A" w:themeColor="text2"/>
          <w:sz w:val="28"/>
          <w:szCs w:val="28"/>
        </w:rPr>
        <w:t xml:space="preserve"> </w:t>
      </w:r>
      <w:r w:rsidR="00961E0D" w:rsidRPr="00961E0D">
        <w:rPr>
          <w:b/>
          <w:color w:val="44546A" w:themeColor="text2"/>
          <w:sz w:val="28"/>
          <w:szCs w:val="28"/>
        </w:rPr>
        <w:t>Maria Giovina Pasca</w:t>
      </w:r>
      <w:r w:rsidR="00A03C01" w:rsidRPr="00961E0D">
        <w:rPr>
          <w:b/>
          <w:color w:val="44546A" w:themeColor="text2"/>
          <w:sz w:val="28"/>
          <w:szCs w:val="28"/>
        </w:rPr>
        <w:t xml:space="preserve">  - </w:t>
      </w:r>
      <w:r w:rsidR="00961E0D">
        <w:rPr>
          <w:b/>
          <w:color w:val="44546A" w:themeColor="text2"/>
          <w:sz w:val="28"/>
          <w:szCs w:val="28"/>
        </w:rPr>
        <w:t>mariagiovina.pasca</w:t>
      </w:r>
      <w:r w:rsidRPr="00961E0D">
        <w:rPr>
          <w:b/>
          <w:color w:val="44546A" w:themeColor="text2"/>
          <w:sz w:val="28"/>
          <w:szCs w:val="28"/>
        </w:rPr>
        <w:t>@unic</w:t>
      </w:r>
      <w:r w:rsidR="002C7C23" w:rsidRPr="00961E0D">
        <w:rPr>
          <w:b/>
          <w:color w:val="44546A" w:themeColor="text2"/>
          <w:sz w:val="28"/>
          <w:szCs w:val="28"/>
        </w:rPr>
        <w:t>u</w:t>
      </w:r>
      <w:r w:rsidRPr="00961E0D">
        <w:rPr>
          <w:b/>
          <w:color w:val="44546A" w:themeColor="text2"/>
          <w:sz w:val="28"/>
          <w:szCs w:val="28"/>
        </w:rPr>
        <w:t xml:space="preserve">sano.it </w:t>
      </w:r>
    </w:p>
    <w:p w14:paraId="3357B21F" w14:textId="77777777" w:rsidR="001A255D" w:rsidRPr="00961E0D" w:rsidRDefault="001A255D" w:rsidP="001A255D">
      <w:pPr>
        <w:rPr>
          <w:b/>
          <w:color w:val="44546A" w:themeColor="text2"/>
          <w:sz w:val="28"/>
          <w:szCs w:val="28"/>
        </w:rPr>
      </w:pPr>
    </w:p>
    <w:p w14:paraId="46591E3C" w14:textId="77777777" w:rsidR="001A255D" w:rsidRPr="00961E0D" w:rsidRDefault="001A255D" w:rsidP="001A255D">
      <w:pPr>
        <w:rPr>
          <w:b/>
          <w:color w:val="44546A" w:themeColor="text2"/>
          <w:sz w:val="28"/>
          <w:szCs w:val="28"/>
        </w:rPr>
      </w:pPr>
    </w:p>
    <w:p w14:paraId="63E9CEDE" w14:textId="249DC84D" w:rsidR="001A255D" w:rsidRDefault="00767A3D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  <w:r>
        <w:rPr>
          <w:b/>
          <w:color w:val="44546A" w:themeColor="text2"/>
          <w:sz w:val="28"/>
          <w:szCs w:val="28"/>
          <w:u w:val="single"/>
          <w:lang w:val="en-US"/>
        </w:rPr>
        <w:t>Objectives</w:t>
      </w:r>
    </w:p>
    <w:p w14:paraId="1BB20A25" w14:textId="77777777" w:rsidR="0005583C" w:rsidRDefault="0005583C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</w:p>
    <w:p w14:paraId="7205CAAB" w14:textId="77777777" w:rsidR="008A2F15" w:rsidRPr="008A2F15" w:rsidRDefault="008A2F15" w:rsidP="008A2F15">
      <w:pPr>
        <w:jc w:val="both"/>
        <w:rPr>
          <w:color w:val="44546A" w:themeColor="text2"/>
          <w:sz w:val="28"/>
          <w:szCs w:val="28"/>
          <w:lang w:val="en-US"/>
        </w:rPr>
      </w:pPr>
      <w:r w:rsidRPr="008A2F15">
        <w:rPr>
          <w:color w:val="44546A" w:themeColor="text2"/>
          <w:sz w:val="28"/>
          <w:szCs w:val="28"/>
          <w:lang w:val="en-US"/>
        </w:rPr>
        <w:t>• Basic and advanced knowledge of the Twin Transition concept, in the European and global context.</w:t>
      </w:r>
    </w:p>
    <w:p w14:paraId="633D0252" w14:textId="77777777" w:rsidR="008A2F15" w:rsidRPr="008A2F15" w:rsidRDefault="008A2F15" w:rsidP="008A2F15">
      <w:pPr>
        <w:jc w:val="both"/>
        <w:rPr>
          <w:color w:val="44546A" w:themeColor="text2"/>
          <w:sz w:val="28"/>
          <w:szCs w:val="28"/>
          <w:lang w:val="en-US"/>
        </w:rPr>
      </w:pPr>
      <w:r w:rsidRPr="008A2F15">
        <w:rPr>
          <w:color w:val="44546A" w:themeColor="text2"/>
          <w:sz w:val="28"/>
          <w:szCs w:val="28"/>
          <w:lang w:val="en-US"/>
        </w:rPr>
        <w:t>• Skills to analyze and apply digital technologies to promote environmental sustainability.</w:t>
      </w:r>
    </w:p>
    <w:p w14:paraId="368EFBE6" w14:textId="77777777" w:rsidR="008A2F15" w:rsidRPr="008A2F15" w:rsidRDefault="008A2F15" w:rsidP="008A2F15">
      <w:pPr>
        <w:jc w:val="both"/>
        <w:rPr>
          <w:color w:val="44546A" w:themeColor="text2"/>
          <w:sz w:val="28"/>
          <w:szCs w:val="28"/>
          <w:lang w:val="en-US"/>
        </w:rPr>
      </w:pPr>
      <w:r w:rsidRPr="008A2F15">
        <w:rPr>
          <w:color w:val="44546A" w:themeColor="text2"/>
          <w:sz w:val="28"/>
          <w:szCs w:val="28"/>
          <w:lang w:val="en-US"/>
        </w:rPr>
        <w:t>• Tools to effectively integrate ecological transition and digital innovation into business processes.</w:t>
      </w:r>
    </w:p>
    <w:p w14:paraId="266286EA" w14:textId="77777777" w:rsidR="008A2F15" w:rsidRPr="008A2F15" w:rsidRDefault="008A2F15" w:rsidP="008A2F15">
      <w:pPr>
        <w:jc w:val="both"/>
        <w:rPr>
          <w:color w:val="44546A" w:themeColor="text2"/>
          <w:sz w:val="28"/>
          <w:szCs w:val="28"/>
          <w:lang w:val="en-US"/>
        </w:rPr>
      </w:pPr>
      <w:r w:rsidRPr="008A2F15">
        <w:rPr>
          <w:color w:val="44546A" w:themeColor="text2"/>
          <w:sz w:val="28"/>
          <w:szCs w:val="28"/>
          <w:lang w:val="en-US"/>
        </w:rPr>
        <w:t>• Ability to measure, evaluate, and communicate environmental and digital impact through recognized indicators and tools (LCA, SDGs, ESG reporting).</w:t>
      </w:r>
    </w:p>
    <w:p w14:paraId="71DFDF03" w14:textId="2CDE891D" w:rsidR="00961E0D" w:rsidRDefault="008A2F15" w:rsidP="008A2F15">
      <w:pPr>
        <w:jc w:val="both"/>
        <w:rPr>
          <w:color w:val="44546A" w:themeColor="text2"/>
          <w:sz w:val="28"/>
          <w:szCs w:val="28"/>
          <w:lang w:val="en-US"/>
        </w:rPr>
      </w:pPr>
      <w:r w:rsidRPr="008A2F15">
        <w:rPr>
          <w:color w:val="44546A" w:themeColor="text2"/>
          <w:sz w:val="28"/>
          <w:szCs w:val="28"/>
          <w:lang w:val="en-US"/>
        </w:rPr>
        <w:t>• Sectoral vision, through case studies in the manufacturing, agri-food, energy, tourism, and mobility sectors.</w:t>
      </w:r>
    </w:p>
    <w:p w14:paraId="3896E737" w14:textId="77777777" w:rsidR="008A2F15" w:rsidRDefault="008A2F15" w:rsidP="008A2F15">
      <w:pPr>
        <w:rPr>
          <w:b/>
          <w:color w:val="44546A" w:themeColor="text2"/>
          <w:sz w:val="28"/>
          <w:szCs w:val="28"/>
          <w:u w:val="single"/>
          <w:lang w:val="en-US"/>
        </w:rPr>
      </w:pPr>
    </w:p>
    <w:p w14:paraId="57AE5563" w14:textId="3048BF4E" w:rsidR="001A255D" w:rsidRDefault="00767A3D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  <w:r>
        <w:rPr>
          <w:b/>
          <w:color w:val="44546A" w:themeColor="text2"/>
          <w:sz w:val="28"/>
          <w:szCs w:val="28"/>
          <w:u w:val="single"/>
          <w:lang w:val="en-US"/>
        </w:rPr>
        <w:t>Course structure</w:t>
      </w:r>
    </w:p>
    <w:p w14:paraId="516DD002" w14:textId="77777777" w:rsidR="00961E0D" w:rsidRDefault="00961E0D" w:rsidP="00A626F7">
      <w:pPr>
        <w:jc w:val="both"/>
        <w:rPr>
          <w:bCs/>
          <w:color w:val="44546A" w:themeColor="text2"/>
          <w:sz w:val="28"/>
          <w:szCs w:val="28"/>
          <w:lang w:val="en-US"/>
        </w:rPr>
      </w:pPr>
    </w:p>
    <w:p w14:paraId="560EA0B0" w14:textId="5D744AFE" w:rsidR="0005583C" w:rsidRPr="00961E0D" w:rsidRDefault="00961E0D" w:rsidP="00A626F7">
      <w:pPr>
        <w:jc w:val="both"/>
        <w:rPr>
          <w:bCs/>
          <w:color w:val="44546A" w:themeColor="text2"/>
          <w:sz w:val="28"/>
          <w:szCs w:val="28"/>
          <w:lang w:val="en-US"/>
        </w:rPr>
      </w:pPr>
      <w:r w:rsidRPr="00961E0D">
        <w:rPr>
          <w:bCs/>
          <w:color w:val="44546A" w:themeColor="text2"/>
          <w:sz w:val="28"/>
          <w:szCs w:val="28"/>
          <w:lang w:val="en-US"/>
        </w:rPr>
        <w:t xml:space="preserve">Students must study the materials provided by the teacher in the "Erasmus Materials" folder. To take the exam, you must prepare a </w:t>
      </w:r>
      <w:proofErr w:type="spellStart"/>
      <w:r w:rsidRPr="00961E0D">
        <w:rPr>
          <w:bCs/>
          <w:color w:val="44546A" w:themeColor="text2"/>
          <w:sz w:val="28"/>
          <w:szCs w:val="28"/>
          <w:lang w:val="en-US"/>
        </w:rPr>
        <w:t>Powerpoint</w:t>
      </w:r>
      <w:proofErr w:type="spellEnd"/>
      <w:r w:rsidRPr="00961E0D">
        <w:rPr>
          <w:bCs/>
          <w:color w:val="44546A" w:themeColor="text2"/>
          <w:sz w:val="28"/>
          <w:szCs w:val="28"/>
          <w:lang w:val="en-US"/>
        </w:rPr>
        <w:t xml:space="preserve"> presentation with a case study that explores the topics covered in the course.</w:t>
      </w:r>
    </w:p>
    <w:p w14:paraId="4DEDF31E" w14:textId="77777777" w:rsidR="00DA501F" w:rsidRDefault="00DA501F" w:rsidP="00A626F7">
      <w:pPr>
        <w:jc w:val="both"/>
        <w:rPr>
          <w:b/>
          <w:color w:val="44546A" w:themeColor="text2"/>
          <w:sz w:val="28"/>
          <w:szCs w:val="28"/>
          <w:u w:val="single"/>
          <w:lang w:val="en-US"/>
        </w:rPr>
      </w:pPr>
    </w:p>
    <w:p w14:paraId="2EE8CE81" w14:textId="17402E5A" w:rsidR="008354DC" w:rsidRPr="00F545FC" w:rsidRDefault="001A255D" w:rsidP="00F545FC">
      <w:pPr>
        <w:jc w:val="both"/>
        <w:rPr>
          <w:b/>
          <w:color w:val="44546A" w:themeColor="text2"/>
          <w:sz w:val="28"/>
          <w:szCs w:val="28"/>
          <w:u w:val="single"/>
        </w:rPr>
      </w:pPr>
      <w:proofErr w:type="spellStart"/>
      <w:r w:rsidRPr="00544FFA">
        <w:rPr>
          <w:b/>
          <w:color w:val="44546A" w:themeColor="text2"/>
          <w:sz w:val="28"/>
          <w:szCs w:val="28"/>
          <w:u w:val="single"/>
        </w:rPr>
        <w:t>Competencies</w:t>
      </w:r>
      <w:proofErr w:type="spellEnd"/>
    </w:p>
    <w:p w14:paraId="3446EC47" w14:textId="50280571" w:rsidR="00097434" w:rsidRPr="00193324" w:rsidRDefault="00C0338D" w:rsidP="00A626F7">
      <w:pPr>
        <w:pStyle w:val="Paragrafoelenco"/>
        <w:numPr>
          <w:ilvl w:val="0"/>
          <w:numId w:val="4"/>
        </w:numPr>
        <w:jc w:val="both"/>
        <w:rPr>
          <w:i/>
          <w:iCs/>
          <w:color w:val="44546A" w:themeColor="text2"/>
          <w:sz w:val="28"/>
          <w:szCs w:val="28"/>
          <w:lang w:val="en-US"/>
        </w:rPr>
      </w:pPr>
      <w:r w:rsidRPr="00193324">
        <w:rPr>
          <w:i/>
          <w:iCs/>
          <w:color w:val="44546A" w:themeColor="text2"/>
          <w:sz w:val="28"/>
          <w:szCs w:val="28"/>
          <w:lang w:val="en-US"/>
        </w:rPr>
        <w:t>K</w:t>
      </w:r>
      <w:r w:rsidR="00097434" w:rsidRPr="00193324">
        <w:rPr>
          <w:i/>
          <w:iCs/>
          <w:color w:val="44546A" w:themeColor="text2"/>
          <w:sz w:val="28"/>
          <w:szCs w:val="28"/>
          <w:lang w:val="en-US"/>
        </w:rPr>
        <w:t xml:space="preserve">nowledge and </w:t>
      </w:r>
      <w:proofErr w:type="spellStart"/>
      <w:r w:rsidR="00097434" w:rsidRPr="00193324">
        <w:rPr>
          <w:i/>
          <w:iCs/>
          <w:color w:val="44546A" w:themeColor="text2"/>
          <w:sz w:val="28"/>
          <w:szCs w:val="28"/>
          <w:lang w:val="en-US"/>
        </w:rPr>
        <w:t>understanding</w:t>
      </w:r>
      <w:proofErr w:type="spellEnd"/>
    </w:p>
    <w:p w14:paraId="49AD0476" w14:textId="685621C2" w:rsidR="008A2F15" w:rsidRPr="00193324" w:rsidRDefault="00F545FC" w:rsidP="008A2F15">
      <w:pPr>
        <w:jc w:val="both"/>
        <w:rPr>
          <w:color w:val="44546A" w:themeColor="text2"/>
          <w:sz w:val="28"/>
          <w:szCs w:val="28"/>
          <w:lang w:val="en-US"/>
        </w:rPr>
      </w:pPr>
      <w:r w:rsidRPr="00193324">
        <w:rPr>
          <w:color w:val="44546A" w:themeColor="text2"/>
          <w:sz w:val="28"/>
          <w:szCs w:val="28"/>
          <w:lang w:val="en-US"/>
        </w:rPr>
        <w:t>At the end of the Course</w:t>
      </w:r>
      <w:r w:rsidR="008A2F15" w:rsidRPr="00193324">
        <w:rPr>
          <w:color w:val="44546A" w:themeColor="text2"/>
          <w:sz w:val="28"/>
          <w:szCs w:val="28"/>
          <w:lang w:val="en-US"/>
        </w:rPr>
        <w:t>, students will understand the theoretical foundations and context of the Twin Transition, including:</w:t>
      </w:r>
    </w:p>
    <w:p w14:paraId="0D90EC86" w14:textId="77777777" w:rsidR="008A2F15" w:rsidRPr="00193324" w:rsidRDefault="008A2F15" w:rsidP="008A2F15">
      <w:pPr>
        <w:jc w:val="both"/>
        <w:rPr>
          <w:color w:val="44546A" w:themeColor="text2"/>
          <w:sz w:val="28"/>
          <w:szCs w:val="28"/>
          <w:lang w:val="en-US"/>
        </w:rPr>
      </w:pPr>
      <w:r w:rsidRPr="00193324">
        <w:rPr>
          <w:color w:val="44546A" w:themeColor="text2"/>
          <w:sz w:val="28"/>
          <w:szCs w:val="28"/>
          <w:lang w:val="en-US"/>
        </w:rPr>
        <w:t xml:space="preserve">• origins, definition, and European strategies (Green Deal, Fit for 55, </w:t>
      </w:r>
      <w:proofErr w:type="spellStart"/>
      <w:r w:rsidRPr="00193324">
        <w:rPr>
          <w:color w:val="44546A" w:themeColor="text2"/>
          <w:sz w:val="28"/>
          <w:szCs w:val="28"/>
          <w:lang w:val="en-US"/>
        </w:rPr>
        <w:t>REPowerEU</w:t>
      </w:r>
      <w:proofErr w:type="spellEnd"/>
      <w:r w:rsidRPr="00193324">
        <w:rPr>
          <w:color w:val="44546A" w:themeColor="text2"/>
          <w:sz w:val="28"/>
          <w:szCs w:val="28"/>
          <w:lang w:val="en-US"/>
        </w:rPr>
        <w:t>);</w:t>
      </w:r>
    </w:p>
    <w:p w14:paraId="0BCE995D" w14:textId="77777777" w:rsidR="008A2F15" w:rsidRPr="00193324" w:rsidRDefault="008A2F15" w:rsidP="008A2F15">
      <w:pPr>
        <w:jc w:val="both"/>
        <w:rPr>
          <w:color w:val="44546A" w:themeColor="text2"/>
          <w:sz w:val="28"/>
          <w:szCs w:val="28"/>
          <w:lang w:val="en-US"/>
        </w:rPr>
      </w:pPr>
      <w:r w:rsidRPr="00193324">
        <w:rPr>
          <w:color w:val="44546A" w:themeColor="text2"/>
          <w:sz w:val="28"/>
          <w:szCs w:val="28"/>
          <w:lang w:val="en-US"/>
        </w:rPr>
        <w:t>• enabling digital technologies and Industry 4.0 and 5.0 models;</w:t>
      </w:r>
    </w:p>
    <w:p w14:paraId="0FDE3F9B" w14:textId="77777777" w:rsidR="008A2F15" w:rsidRPr="00193324" w:rsidRDefault="008A2F15" w:rsidP="008A2F15">
      <w:pPr>
        <w:jc w:val="both"/>
        <w:rPr>
          <w:color w:val="44546A" w:themeColor="text2"/>
          <w:sz w:val="28"/>
          <w:szCs w:val="28"/>
          <w:lang w:val="en-US"/>
        </w:rPr>
      </w:pPr>
      <w:r w:rsidRPr="00193324">
        <w:rPr>
          <w:color w:val="44546A" w:themeColor="text2"/>
          <w:sz w:val="28"/>
          <w:szCs w:val="28"/>
          <w:lang w:val="en-US"/>
        </w:rPr>
        <w:t>• principles of the ecological transition, circular economy, decarbonization, and the PNRR;</w:t>
      </w:r>
    </w:p>
    <w:p w14:paraId="3B30E8A9" w14:textId="09223ECA" w:rsidR="00F545FC" w:rsidRPr="00193324" w:rsidRDefault="00F545FC" w:rsidP="008A2F15">
      <w:pPr>
        <w:jc w:val="both"/>
        <w:rPr>
          <w:color w:val="44546A" w:themeColor="text2"/>
          <w:sz w:val="28"/>
          <w:szCs w:val="28"/>
          <w:lang w:val="en-US"/>
        </w:rPr>
      </w:pPr>
      <w:r w:rsidRPr="00193324">
        <w:rPr>
          <w:color w:val="44546A" w:themeColor="text2"/>
          <w:sz w:val="28"/>
          <w:szCs w:val="28"/>
          <w:lang w:val="en-US"/>
        </w:rPr>
        <w:t>• synergies between digital transformation and environmental sustainability.</w:t>
      </w:r>
    </w:p>
    <w:p w14:paraId="575A23E4" w14:textId="2A659F96" w:rsidR="00544FFA" w:rsidRPr="00193324" w:rsidRDefault="00544FFA" w:rsidP="00A626F7">
      <w:pPr>
        <w:jc w:val="both"/>
        <w:rPr>
          <w:i/>
          <w:iCs/>
          <w:color w:val="44546A" w:themeColor="text2"/>
          <w:sz w:val="28"/>
          <w:szCs w:val="28"/>
          <w:lang w:val="en-US"/>
        </w:rPr>
      </w:pPr>
      <w:r w:rsidRPr="00193324">
        <w:rPr>
          <w:i/>
          <w:iCs/>
          <w:color w:val="44546A" w:themeColor="text2"/>
          <w:sz w:val="28"/>
          <w:szCs w:val="28"/>
          <w:lang w:val="en-US"/>
        </w:rPr>
        <w:lastRenderedPageBreak/>
        <w:t>B. Applying knowledge and understanding</w:t>
      </w:r>
    </w:p>
    <w:p w14:paraId="794D86ED" w14:textId="77777777" w:rsidR="00F545FC" w:rsidRPr="00193324" w:rsidRDefault="00F545FC" w:rsidP="00F545FC">
      <w:pPr>
        <w:jc w:val="both"/>
        <w:rPr>
          <w:color w:val="44546A" w:themeColor="text2"/>
          <w:sz w:val="28"/>
          <w:szCs w:val="28"/>
          <w:lang w:val="en-US"/>
        </w:rPr>
      </w:pPr>
      <w:r w:rsidRPr="00193324">
        <w:rPr>
          <w:color w:val="44546A" w:themeColor="text2"/>
          <w:sz w:val="28"/>
          <w:szCs w:val="28"/>
          <w:lang w:val="en-US"/>
        </w:rPr>
        <w:t>Students will be able to apply theoretical concepts to:</w:t>
      </w:r>
    </w:p>
    <w:p w14:paraId="1F4571F4" w14:textId="69D9D025" w:rsidR="00F545FC" w:rsidRPr="00193324" w:rsidRDefault="00F545FC" w:rsidP="00F545FC">
      <w:pPr>
        <w:jc w:val="both"/>
        <w:rPr>
          <w:color w:val="44546A" w:themeColor="text2"/>
          <w:sz w:val="28"/>
          <w:szCs w:val="28"/>
          <w:lang w:val="en-US"/>
        </w:rPr>
      </w:pPr>
      <w:r w:rsidRPr="00193324">
        <w:rPr>
          <w:color w:val="44546A" w:themeColor="text2"/>
          <w:sz w:val="28"/>
          <w:szCs w:val="28"/>
          <w:lang w:val="en-US"/>
        </w:rPr>
        <w:t xml:space="preserve">• </w:t>
      </w:r>
      <w:proofErr w:type="spellStart"/>
      <w:r w:rsidRPr="00193324">
        <w:rPr>
          <w:color w:val="44546A" w:themeColor="text2"/>
          <w:sz w:val="28"/>
          <w:szCs w:val="28"/>
          <w:lang w:val="en-US"/>
        </w:rPr>
        <w:t>analyze</w:t>
      </w:r>
      <w:proofErr w:type="spellEnd"/>
      <w:r w:rsidRPr="00193324">
        <w:rPr>
          <w:color w:val="44546A" w:themeColor="text2"/>
          <w:sz w:val="28"/>
          <w:szCs w:val="28"/>
          <w:lang w:val="en-US"/>
        </w:rPr>
        <w:t xml:space="preserve"> and evaluate business cases for integrating digital and sustainability;</w:t>
      </w:r>
    </w:p>
    <w:p w14:paraId="6C7AA3A5" w14:textId="64130158" w:rsidR="00F545FC" w:rsidRPr="00193324" w:rsidRDefault="00F545FC" w:rsidP="00F545FC">
      <w:pPr>
        <w:jc w:val="both"/>
        <w:rPr>
          <w:color w:val="44546A" w:themeColor="text2"/>
          <w:sz w:val="28"/>
          <w:szCs w:val="28"/>
          <w:lang w:val="en-US"/>
        </w:rPr>
      </w:pPr>
      <w:r w:rsidRPr="00193324">
        <w:rPr>
          <w:color w:val="44546A" w:themeColor="text2"/>
          <w:sz w:val="28"/>
          <w:szCs w:val="28"/>
          <w:lang w:val="en-US"/>
        </w:rPr>
        <w:t>• select digital technologies to support sustainability (e.g., AI, IoT, blockchain);</w:t>
      </w:r>
    </w:p>
    <w:p w14:paraId="653A87CE" w14:textId="48276802" w:rsidR="00F545FC" w:rsidRPr="00193324" w:rsidRDefault="00F545FC" w:rsidP="00F545FC">
      <w:pPr>
        <w:jc w:val="both"/>
        <w:rPr>
          <w:color w:val="44546A" w:themeColor="text2"/>
          <w:sz w:val="28"/>
          <w:szCs w:val="28"/>
          <w:lang w:val="en-US"/>
        </w:rPr>
      </w:pPr>
      <w:r w:rsidRPr="00193324">
        <w:rPr>
          <w:color w:val="44546A" w:themeColor="text2"/>
          <w:sz w:val="28"/>
          <w:szCs w:val="28"/>
          <w:lang w:val="en-US"/>
        </w:rPr>
        <w:t>• build and interpret indicators (digital KPIs, environmental metrics, ESG);</w:t>
      </w:r>
    </w:p>
    <w:p w14:paraId="38A2706D" w14:textId="1178CF97" w:rsidR="00544FFA" w:rsidRPr="00193324" w:rsidRDefault="00F545FC" w:rsidP="00F545FC">
      <w:pPr>
        <w:jc w:val="both"/>
        <w:rPr>
          <w:color w:val="44546A" w:themeColor="text2"/>
          <w:sz w:val="28"/>
          <w:szCs w:val="28"/>
          <w:lang w:val="en-US"/>
        </w:rPr>
      </w:pPr>
      <w:r w:rsidRPr="00193324">
        <w:rPr>
          <w:color w:val="44546A" w:themeColor="text2"/>
          <w:sz w:val="28"/>
          <w:szCs w:val="28"/>
          <w:lang w:val="en-US"/>
        </w:rPr>
        <w:t>• propose innovative solutions and business models geared towards the Twin Transition</w:t>
      </w:r>
    </w:p>
    <w:p w14:paraId="12EBAD53" w14:textId="77777777" w:rsidR="00F545FC" w:rsidRPr="00193324" w:rsidRDefault="00F545FC" w:rsidP="00F545FC">
      <w:pPr>
        <w:rPr>
          <w:color w:val="44546A" w:themeColor="text2"/>
          <w:sz w:val="28"/>
          <w:szCs w:val="28"/>
          <w:lang w:val="en-US"/>
        </w:rPr>
      </w:pPr>
    </w:p>
    <w:p w14:paraId="4ABFD83E" w14:textId="17A807AD" w:rsidR="00544FFA" w:rsidRPr="00193324" w:rsidRDefault="00544FFA" w:rsidP="00544FFA">
      <w:pPr>
        <w:jc w:val="both"/>
        <w:rPr>
          <w:i/>
          <w:iCs/>
          <w:color w:val="44546A" w:themeColor="text2"/>
          <w:sz w:val="28"/>
          <w:szCs w:val="28"/>
          <w:lang w:val="en-US"/>
        </w:rPr>
      </w:pPr>
      <w:r w:rsidRPr="00193324">
        <w:rPr>
          <w:i/>
          <w:iCs/>
          <w:color w:val="44546A" w:themeColor="text2"/>
          <w:sz w:val="28"/>
          <w:szCs w:val="28"/>
          <w:lang w:val="en-US"/>
        </w:rPr>
        <w:t xml:space="preserve">C. </w:t>
      </w:r>
      <w:bookmarkStart w:id="0" w:name="_Hlk183429775"/>
      <w:r w:rsidRPr="00193324">
        <w:rPr>
          <w:i/>
          <w:iCs/>
          <w:color w:val="44546A" w:themeColor="text2"/>
          <w:sz w:val="28"/>
          <w:szCs w:val="28"/>
          <w:lang w:val="en-US"/>
        </w:rPr>
        <w:t>Making judgements</w:t>
      </w:r>
      <w:bookmarkEnd w:id="0"/>
    </w:p>
    <w:p w14:paraId="58C5A599" w14:textId="243B2495" w:rsidR="00F545FC" w:rsidRPr="00193324" w:rsidRDefault="00F545FC" w:rsidP="00F545FC">
      <w:pPr>
        <w:jc w:val="both"/>
        <w:rPr>
          <w:color w:val="44546A" w:themeColor="text2"/>
          <w:sz w:val="28"/>
          <w:szCs w:val="28"/>
          <w:lang w:val="en-US"/>
        </w:rPr>
      </w:pPr>
      <w:r w:rsidRPr="00193324">
        <w:rPr>
          <w:color w:val="44546A" w:themeColor="text2"/>
          <w:sz w:val="28"/>
          <w:szCs w:val="28"/>
          <w:lang w:val="en-US"/>
        </w:rPr>
        <w:t xml:space="preserve">Students will develop the ability to critically </w:t>
      </w:r>
      <w:proofErr w:type="spellStart"/>
      <w:r w:rsidRPr="00193324">
        <w:rPr>
          <w:color w:val="44546A" w:themeColor="text2"/>
          <w:sz w:val="28"/>
          <w:szCs w:val="28"/>
          <w:lang w:val="en-US"/>
        </w:rPr>
        <w:t>analyze</w:t>
      </w:r>
      <w:proofErr w:type="spellEnd"/>
      <w:r w:rsidRPr="00193324">
        <w:rPr>
          <w:color w:val="44546A" w:themeColor="text2"/>
          <w:sz w:val="28"/>
          <w:szCs w:val="28"/>
          <w:lang w:val="en-US"/>
        </w:rPr>
        <w:t xml:space="preserve"> data, policies, and tools to:</w:t>
      </w:r>
    </w:p>
    <w:p w14:paraId="7E94D0A7" w14:textId="0BF72C78" w:rsidR="00F545FC" w:rsidRPr="00193324" w:rsidRDefault="00F545FC" w:rsidP="00F545FC">
      <w:pPr>
        <w:jc w:val="both"/>
        <w:rPr>
          <w:color w:val="44546A" w:themeColor="text2"/>
          <w:sz w:val="28"/>
          <w:szCs w:val="28"/>
          <w:lang w:val="en-US"/>
        </w:rPr>
      </w:pPr>
      <w:r w:rsidRPr="00193324">
        <w:rPr>
          <w:color w:val="44546A" w:themeColor="text2"/>
          <w:sz w:val="28"/>
          <w:szCs w:val="28"/>
          <w:lang w:val="en-US"/>
        </w:rPr>
        <w:t>• draw independent conclusions about the effectiveness of Twin Transition strategies;</w:t>
      </w:r>
    </w:p>
    <w:p w14:paraId="0D32BBCC" w14:textId="24719DE2" w:rsidR="00F545FC" w:rsidRPr="00193324" w:rsidRDefault="00F545FC" w:rsidP="00F545FC">
      <w:pPr>
        <w:jc w:val="both"/>
        <w:rPr>
          <w:color w:val="44546A" w:themeColor="text2"/>
          <w:sz w:val="28"/>
          <w:szCs w:val="28"/>
          <w:lang w:val="en-US"/>
        </w:rPr>
      </w:pPr>
      <w:r w:rsidRPr="00193324">
        <w:rPr>
          <w:color w:val="44546A" w:themeColor="text2"/>
          <w:sz w:val="28"/>
          <w:szCs w:val="28"/>
          <w:lang w:val="en-US"/>
        </w:rPr>
        <w:t>• assess the risks, opportunities, and impacts of technologies on the environment and business;</w:t>
      </w:r>
    </w:p>
    <w:p w14:paraId="3898F64F" w14:textId="6E5B35B5" w:rsidR="00544FFA" w:rsidRPr="00193324" w:rsidRDefault="00F545FC" w:rsidP="00F545FC">
      <w:pPr>
        <w:jc w:val="both"/>
        <w:rPr>
          <w:color w:val="44546A" w:themeColor="text2"/>
          <w:sz w:val="28"/>
          <w:szCs w:val="28"/>
          <w:lang w:val="en-US"/>
        </w:rPr>
      </w:pPr>
      <w:r w:rsidRPr="00193324">
        <w:rPr>
          <w:color w:val="44546A" w:themeColor="text2"/>
          <w:sz w:val="28"/>
          <w:szCs w:val="28"/>
          <w:lang w:val="en-US"/>
        </w:rPr>
        <w:t>• identify best practices and adapt them to different organizational and sectoral contexts.</w:t>
      </w:r>
    </w:p>
    <w:p w14:paraId="714DC914" w14:textId="77777777" w:rsidR="00F545FC" w:rsidRPr="00193324" w:rsidRDefault="00F545FC" w:rsidP="00F545FC">
      <w:pPr>
        <w:jc w:val="both"/>
        <w:rPr>
          <w:color w:val="44546A" w:themeColor="text2"/>
          <w:sz w:val="28"/>
          <w:szCs w:val="28"/>
          <w:lang w:val="en-US"/>
        </w:rPr>
      </w:pPr>
    </w:p>
    <w:p w14:paraId="5F2E0552" w14:textId="35C2B9F9" w:rsidR="00544FFA" w:rsidRPr="00193324" w:rsidRDefault="00544FFA" w:rsidP="00544FFA">
      <w:pPr>
        <w:jc w:val="both"/>
        <w:rPr>
          <w:i/>
          <w:iCs/>
          <w:color w:val="44546A" w:themeColor="text2"/>
          <w:sz w:val="28"/>
          <w:szCs w:val="28"/>
          <w:lang w:val="en-US"/>
        </w:rPr>
      </w:pPr>
      <w:r w:rsidRPr="00193324">
        <w:rPr>
          <w:i/>
          <w:iCs/>
          <w:color w:val="44546A" w:themeColor="text2"/>
          <w:sz w:val="28"/>
          <w:szCs w:val="28"/>
          <w:lang w:val="en-US"/>
        </w:rPr>
        <w:t>D. ​​Communication skills</w:t>
      </w:r>
    </w:p>
    <w:p w14:paraId="39DF9C79" w14:textId="35932AB2" w:rsidR="00F545FC" w:rsidRPr="00193324" w:rsidRDefault="00F545FC" w:rsidP="00F545FC">
      <w:pPr>
        <w:jc w:val="both"/>
        <w:rPr>
          <w:color w:val="44546A" w:themeColor="text2"/>
          <w:sz w:val="28"/>
          <w:szCs w:val="28"/>
          <w:lang w:val="en-US"/>
        </w:rPr>
      </w:pPr>
      <w:r w:rsidRPr="00193324">
        <w:rPr>
          <w:color w:val="44546A" w:themeColor="text2"/>
          <w:sz w:val="28"/>
          <w:szCs w:val="28"/>
          <w:lang w:val="en-US"/>
        </w:rPr>
        <w:t>At the end of the Course, students will be able to communicate clearly and appropriately:</w:t>
      </w:r>
    </w:p>
    <w:p w14:paraId="79608F4C" w14:textId="6EEF8153" w:rsidR="00F545FC" w:rsidRPr="00193324" w:rsidRDefault="00F545FC" w:rsidP="00F545FC">
      <w:pPr>
        <w:jc w:val="both"/>
        <w:rPr>
          <w:color w:val="44546A" w:themeColor="text2"/>
          <w:sz w:val="28"/>
          <w:szCs w:val="28"/>
          <w:lang w:val="en-US"/>
        </w:rPr>
      </w:pPr>
      <w:r w:rsidRPr="00193324">
        <w:rPr>
          <w:color w:val="44546A" w:themeColor="text2"/>
          <w:sz w:val="28"/>
          <w:szCs w:val="28"/>
          <w:lang w:val="en-US"/>
        </w:rPr>
        <w:t>• use the technical terminology of digital transformation and sustainability;</w:t>
      </w:r>
    </w:p>
    <w:p w14:paraId="55C4A1D9" w14:textId="754141BD" w:rsidR="00F545FC" w:rsidRPr="00193324" w:rsidRDefault="00F545FC" w:rsidP="00F545FC">
      <w:pPr>
        <w:jc w:val="both"/>
        <w:rPr>
          <w:color w:val="44546A" w:themeColor="text2"/>
          <w:sz w:val="28"/>
          <w:szCs w:val="28"/>
          <w:lang w:val="en-US"/>
        </w:rPr>
      </w:pPr>
      <w:r w:rsidRPr="00193324">
        <w:rPr>
          <w:color w:val="44546A" w:themeColor="text2"/>
          <w:sz w:val="28"/>
          <w:szCs w:val="28"/>
          <w:lang w:val="en-US"/>
        </w:rPr>
        <w:t>• present analysis results, KPIs, and project proposals to various stakeholders;</w:t>
      </w:r>
    </w:p>
    <w:p w14:paraId="58E07B21" w14:textId="6383E1C6" w:rsidR="00F545FC" w:rsidRPr="00193324" w:rsidRDefault="00F545FC" w:rsidP="00F545FC">
      <w:pPr>
        <w:jc w:val="both"/>
        <w:rPr>
          <w:color w:val="44546A" w:themeColor="text2"/>
          <w:sz w:val="28"/>
          <w:szCs w:val="28"/>
          <w:lang w:val="en-US"/>
        </w:rPr>
      </w:pPr>
      <w:r w:rsidRPr="00193324">
        <w:rPr>
          <w:color w:val="44546A" w:themeColor="text2"/>
          <w:sz w:val="28"/>
          <w:szCs w:val="28"/>
          <w:lang w:val="en-US"/>
        </w:rPr>
        <w:t>• draft and illustrate reports and action plans related to the Twin Transition;</w:t>
      </w:r>
    </w:p>
    <w:p w14:paraId="6099E900" w14:textId="36E07AD4" w:rsidR="00544FFA" w:rsidRPr="00193324" w:rsidRDefault="00F545FC" w:rsidP="00F545FC">
      <w:pPr>
        <w:jc w:val="both"/>
        <w:rPr>
          <w:color w:val="44546A" w:themeColor="text2"/>
          <w:sz w:val="28"/>
          <w:szCs w:val="28"/>
          <w:lang w:val="en-US"/>
        </w:rPr>
      </w:pPr>
      <w:r w:rsidRPr="00193324">
        <w:rPr>
          <w:color w:val="44546A" w:themeColor="text2"/>
          <w:sz w:val="28"/>
          <w:szCs w:val="28"/>
          <w:lang w:val="en-US"/>
        </w:rPr>
        <w:t>• communicate with multidisciplinary teams, businesses, institutions, and investors.</w:t>
      </w:r>
    </w:p>
    <w:p w14:paraId="2BB226D2" w14:textId="77777777" w:rsidR="00F545FC" w:rsidRPr="00193324" w:rsidRDefault="00F545FC" w:rsidP="00F545FC">
      <w:pPr>
        <w:jc w:val="both"/>
        <w:rPr>
          <w:color w:val="44546A" w:themeColor="text2"/>
          <w:sz w:val="28"/>
          <w:szCs w:val="28"/>
          <w:lang w:val="en-US"/>
        </w:rPr>
      </w:pPr>
    </w:p>
    <w:p w14:paraId="20DAF8AD" w14:textId="0A655B41" w:rsidR="00544FFA" w:rsidRPr="00193324" w:rsidRDefault="00544FFA" w:rsidP="00544FFA">
      <w:pPr>
        <w:jc w:val="both"/>
        <w:rPr>
          <w:i/>
          <w:iCs/>
          <w:color w:val="44546A" w:themeColor="text2"/>
          <w:sz w:val="28"/>
          <w:szCs w:val="28"/>
          <w:lang w:val="en-US"/>
        </w:rPr>
      </w:pPr>
      <w:r w:rsidRPr="00193324">
        <w:rPr>
          <w:i/>
          <w:iCs/>
          <w:color w:val="44546A" w:themeColor="text2"/>
          <w:sz w:val="28"/>
          <w:szCs w:val="28"/>
          <w:lang w:val="en-US"/>
        </w:rPr>
        <w:t>E</w:t>
      </w:r>
      <w:bookmarkStart w:id="1" w:name="_Hlk183429790"/>
      <w:r w:rsidRPr="00193324">
        <w:rPr>
          <w:i/>
          <w:iCs/>
          <w:color w:val="44546A" w:themeColor="text2"/>
          <w:sz w:val="28"/>
          <w:szCs w:val="28"/>
          <w:lang w:val="en-US"/>
        </w:rPr>
        <w:t>. Learning skills</w:t>
      </w:r>
      <w:bookmarkEnd w:id="1"/>
    </w:p>
    <w:p w14:paraId="09F21B1E" w14:textId="370FEFF5" w:rsidR="00CC6FB0" w:rsidRPr="00193324" w:rsidRDefault="00544FFA" w:rsidP="00CC6FB0">
      <w:pPr>
        <w:jc w:val="both"/>
        <w:rPr>
          <w:color w:val="44546A" w:themeColor="text2"/>
          <w:sz w:val="28"/>
          <w:szCs w:val="28"/>
          <w:lang w:val="en-US"/>
        </w:rPr>
      </w:pPr>
      <w:r w:rsidRPr="00193324">
        <w:rPr>
          <w:color w:val="44546A" w:themeColor="text2"/>
          <w:sz w:val="28"/>
          <w:szCs w:val="28"/>
          <w:lang w:val="en-US"/>
        </w:rPr>
        <w:t xml:space="preserve">At the end of the Course, </w:t>
      </w:r>
      <w:r w:rsidR="00CC6FB0" w:rsidRPr="00193324">
        <w:rPr>
          <w:color w:val="44546A" w:themeColor="text2"/>
          <w:sz w:val="28"/>
          <w:szCs w:val="28"/>
          <w:lang w:val="en-US"/>
        </w:rPr>
        <w:t>the s</w:t>
      </w:r>
      <w:r w:rsidR="00CC6FB0" w:rsidRPr="00193324">
        <w:rPr>
          <w:color w:val="44546A" w:themeColor="text2"/>
          <w:sz w:val="28"/>
          <w:szCs w:val="28"/>
          <w:lang w:val="en-US"/>
        </w:rPr>
        <w:t>tudents will develop the ability to learn independently, being able to:</w:t>
      </w:r>
    </w:p>
    <w:p w14:paraId="31537FF6" w14:textId="79754857" w:rsidR="00CC6FB0" w:rsidRPr="00193324" w:rsidRDefault="00CC6FB0" w:rsidP="00CC6FB0">
      <w:pPr>
        <w:jc w:val="both"/>
        <w:rPr>
          <w:color w:val="44546A" w:themeColor="text2"/>
          <w:sz w:val="28"/>
          <w:szCs w:val="28"/>
          <w:lang w:val="en-US"/>
        </w:rPr>
      </w:pPr>
      <w:r w:rsidRPr="00193324">
        <w:rPr>
          <w:color w:val="44546A" w:themeColor="text2"/>
          <w:sz w:val="28"/>
          <w:szCs w:val="28"/>
          <w:lang w:val="en-US"/>
        </w:rPr>
        <w:t>• stay up-to-date on new policies, technologies, and ESG standards;</w:t>
      </w:r>
    </w:p>
    <w:p w14:paraId="7A0DDE0C" w14:textId="2365369B" w:rsidR="00CC6FB0" w:rsidRPr="00193324" w:rsidRDefault="00CC6FB0" w:rsidP="00CC6FB0">
      <w:pPr>
        <w:jc w:val="both"/>
        <w:rPr>
          <w:color w:val="44546A" w:themeColor="text2"/>
          <w:sz w:val="28"/>
          <w:szCs w:val="28"/>
          <w:lang w:val="en-US"/>
        </w:rPr>
      </w:pPr>
      <w:r w:rsidRPr="00193324">
        <w:rPr>
          <w:color w:val="44546A" w:themeColor="text2"/>
          <w:sz w:val="28"/>
          <w:szCs w:val="28"/>
          <w:lang w:val="en-US"/>
        </w:rPr>
        <w:t>• delve deeper into emerging analysis tools and indicators;</w:t>
      </w:r>
    </w:p>
    <w:p w14:paraId="566E463B" w14:textId="7CEC9BAA" w:rsidR="00CC6FB0" w:rsidRPr="00193324" w:rsidRDefault="00CC6FB0" w:rsidP="00CC6FB0">
      <w:pPr>
        <w:jc w:val="both"/>
        <w:rPr>
          <w:color w:val="44546A" w:themeColor="text2"/>
          <w:sz w:val="28"/>
          <w:szCs w:val="28"/>
          <w:lang w:val="en-US"/>
        </w:rPr>
      </w:pPr>
      <w:r w:rsidRPr="00193324">
        <w:rPr>
          <w:color w:val="44546A" w:themeColor="text2"/>
          <w:sz w:val="28"/>
          <w:szCs w:val="28"/>
          <w:lang w:val="en-US"/>
        </w:rPr>
        <w:t>• apply learned concepts to different professional contexts;</w:t>
      </w:r>
    </w:p>
    <w:p w14:paraId="0B1DFF93" w14:textId="5F891F7F" w:rsidR="00DA501F" w:rsidRPr="00193324" w:rsidRDefault="00CC6FB0" w:rsidP="00CC6FB0">
      <w:pPr>
        <w:jc w:val="both"/>
        <w:rPr>
          <w:color w:val="44546A" w:themeColor="text2"/>
          <w:sz w:val="28"/>
          <w:szCs w:val="28"/>
          <w:lang w:val="en-US"/>
        </w:rPr>
      </w:pPr>
      <w:r w:rsidRPr="00193324">
        <w:rPr>
          <w:color w:val="44546A" w:themeColor="text2"/>
          <w:sz w:val="28"/>
          <w:szCs w:val="28"/>
          <w:lang w:val="en-US"/>
        </w:rPr>
        <w:t>• develop a critical and proactive approach to continuing education in the digital and sustainability fields.</w:t>
      </w:r>
    </w:p>
    <w:p w14:paraId="2988BD28" w14:textId="77777777" w:rsidR="00544FFA" w:rsidRDefault="00544FFA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</w:p>
    <w:p w14:paraId="6B306CF6" w14:textId="0B8C89A2" w:rsidR="008354DC" w:rsidRDefault="008354DC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  <w:r w:rsidRPr="008354DC">
        <w:rPr>
          <w:b/>
          <w:color w:val="44546A" w:themeColor="text2"/>
          <w:sz w:val="28"/>
          <w:szCs w:val="28"/>
          <w:u w:val="single"/>
          <w:lang w:val="en-US"/>
        </w:rPr>
        <w:t>Evaluation system and criteria</w:t>
      </w:r>
    </w:p>
    <w:p w14:paraId="3BD108B6" w14:textId="77777777" w:rsidR="00BA1D14" w:rsidRDefault="00BA1D14" w:rsidP="001A255D">
      <w:pPr>
        <w:rPr>
          <w:color w:val="44546A" w:themeColor="text2"/>
          <w:sz w:val="28"/>
          <w:szCs w:val="28"/>
          <w:lang w:val="en-US"/>
        </w:rPr>
      </w:pPr>
    </w:p>
    <w:p w14:paraId="6C6ECAA3" w14:textId="7F5CF6F9" w:rsidR="00DA501F" w:rsidRDefault="00961E0D" w:rsidP="001A255D">
      <w:pPr>
        <w:rPr>
          <w:color w:val="44546A" w:themeColor="text2"/>
          <w:sz w:val="28"/>
          <w:szCs w:val="28"/>
          <w:lang w:val="en-US"/>
        </w:rPr>
      </w:pPr>
      <w:r w:rsidRPr="00961E0D">
        <w:rPr>
          <w:color w:val="44546A" w:themeColor="text2"/>
          <w:sz w:val="28"/>
          <w:szCs w:val="28"/>
          <w:lang w:val="en-US"/>
        </w:rPr>
        <w:t>The exam consists of an oral test aimed at ascertaining the ability to analyze and rework the concepts acquired. In addition, the student will present the case study analyzed.</w:t>
      </w:r>
    </w:p>
    <w:p w14:paraId="2066D574" w14:textId="77777777" w:rsidR="00961E0D" w:rsidRDefault="00961E0D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</w:p>
    <w:p w14:paraId="7969C41F" w14:textId="77777777" w:rsidR="00193324" w:rsidRPr="008354DC" w:rsidRDefault="00193324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</w:p>
    <w:p w14:paraId="7160B8DC" w14:textId="77777777" w:rsidR="001A255D" w:rsidRPr="008354DC" w:rsidRDefault="001A255D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  <w:r w:rsidRPr="008354DC">
        <w:rPr>
          <w:b/>
          <w:color w:val="44546A" w:themeColor="text2"/>
          <w:sz w:val="28"/>
          <w:szCs w:val="28"/>
          <w:u w:val="single"/>
          <w:lang w:val="en-US"/>
        </w:rPr>
        <w:lastRenderedPageBreak/>
        <w:t>Bibliography and resources</w:t>
      </w:r>
    </w:p>
    <w:p w14:paraId="26A0D49F" w14:textId="77777777" w:rsidR="008354DC" w:rsidRDefault="008354DC" w:rsidP="001A255D">
      <w:pPr>
        <w:rPr>
          <w:b/>
          <w:color w:val="44546A" w:themeColor="text2"/>
          <w:sz w:val="28"/>
          <w:szCs w:val="28"/>
          <w:lang w:val="en-US"/>
        </w:rPr>
      </w:pPr>
    </w:p>
    <w:p w14:paraId="1E5F4020" w14:textId="7741D666" w:rsidR="00A647A4" w:rsidRPr="00B44EB7" w:rsidRDefault="00961E0D" w:rsidP="001A255D">
      <w:pPr>
        <w:jc w:val="both"/>
        <w:rPr>
          <w:color w:val="44546A" w:themeColor="text2"/>
          <w:sz w:val="28"/>
          <w:szCs w:val="28"/>
          <w:lang w:val="en-US"/>
        </w:rPr>
      </w:pPr>
      <w:r w:rsidRPr="00961E0D">
        <w:rPr>
          <w:color w:val="44546A" w:themeColor="text2"/>
          <w:sz w:val="28"/>
          <w:szCs w:val="28"/>
          <w:lang w:val="en-US"/>
        </w:rPr>
        <w:t xml:space="preserve">Materials provided by the teacher in the "Erasmus Materials" folder </w:t>
      </w:r>
    </w:p>
    <w:p w14:paraId="4050EEB1" w14:textId="33CAF7F9" w:rsidR="000B7BF8" w:rsidRPr="00E36587" w:rsidRDefault="000B7BF8" w:rsidP="00662D83">
      <w:pPr>
        <w:jc w:val="both"/>
        <w:rPr>
          <w:color w:val="44546A" w:themeColor="text2"/>
          <w:sz w:val="28"/>
          <w:szCs w:val="28"/>
          <w:lang w:val="en-US"/>
        </w:rPr>
      </w:pPr>
    </w:p>
    <w:sectPr w:rsidR="000B7BF8" w:rsidRPr="00E36587" w:rsidSect="00140F90">
      <w:headerReference w:type="even" r:id="rId8"/>
      <w:headerReference w:type="default" r:id="rId9"/>
      <w:pgSz w:w="11900" w:h="16840"/>
      <w:pgMar w:top="1815" w:right="1134" w:bottom="1134" w:left="1134" w:header="907" w:footer="737" w:gutter="0"/>
      <w:pgBorders w:offsetFrom="page">
        <w:top w:val="thinThickSmallGap" w:sz="24" w:space="31" w:color="9CC2E5" w:themeColor="accent1" w:themeTint="99"/>
        <w:left w:val="thinThickSmallGap" w:sz="24" w:space="31" w:color="9CC2E5" w:themeColor="accent1" w:themeTint="99"/>
        <w:bottom w:val="thickThinSmallGap" w:sz="24" w:space="31" w:color="9CC2E5" w:themeColor="accent1" w:themeTint="99"/>
        <w:right w:val="thickThinSmallGap" w:sz="24" w:space="31" w:color="9CC2E5" w:themeColor="accent1" w:themeTint="99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9C2AD" w14:textId="77777777" w:rsidR="00BA58EE" w:rsidRDefault="00BA58EE" w:rsidP="004C1049">
      <w:r>
        <w:separator/>
      </w:r>
    </w:p>
  </w:endnote>
  <w:endnote w:type="continuationSeparator" w:id="0">
    <w:p w14:paraId="471E75CE" w14:textId="77777777" w:rsidR="00BA58EE" w:rsidRDefault="00BA58EE" w:rsidP="004C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F358" w14:textId="77777777" w:rsidR="00BA58EE" w:rsidRDefault="00BA58EE" w:rsidP="004C1049">
      <w:r>
        <w:separator/>
      </w:r>
    </w:p>
  </w:footnote>
  <w:footnote w:type="continuationSeparator" w:id="0">
    <w:p w14:paraId="0CA3DEC9" w14:textId="77777777" w:rsidR="00BA58EE" w:rsidRDefault="00BA58EE" w:rsidP="004C1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A484" w14:textId="77777777" w:rsidR="002C7C23" w:rsidRDefault="002C7C23">
    <w:pPr>
      <w:pStyle w:val="Intestazione"/>
    </w:pPr>
  </w:p>
  <w:p w14:paraId="3B8017AC" w14:textId="77777777" w:rsidR="00146026" w:rsidRDefault="00146026"/>
  <w:p w14:paraId="3C18F268" w14:textId="77777777" w:rsidR="002C7C23" w:rsidRDefault="002C7C23"/>
  <w:p w14:paraId="24186037" w14:textId="77777777" w:rsidR="002C7C23" w:rsidRDefault="002C7C23"/>
  <w:p w14:paraId="562FEF0D" w14:textId="77777777" w:rsidR="002C7C23" w:rsidRDefault="002C7C23"/>
  <w:p w14:paraId="07F2B419" w14:textId="77777777" w:rsidR="002C7C23" w:rsidRDefault="002C7C23"/>
  <w:p w14:paraId="04F3C58E" w14:textId="77777777" w:rsidR="002C7C23" w:rsidRDefault="002C7C23"/>
  <w:p w14:paraId="16EE7AFB" w14:textId="77777777" w:rsidR="002C7C23" w:rsidRDefault="002C7C23"/>
  <w:p w14:paraId="55F0B0F8" w14:textId="77777777" w:rsidR="002C7C23" w:rsidRDefault="002C7C23"/>
  <w:p w14:paraId="0DC2065E" w14:textId="77777777" w:rsidR="002C7C23" w:rsidRDefault="002C7C23"/>
  <w:p w14:paraId="677B09AE" w14:textId="77777777" w:rsidR="002C7C23" w:rsidRDefault="002C7C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BC927" w14:textId="77777777" w:rsidR="008354DC" w:rsidRDefault="008354DC" w:rsidP="002C7C2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6B9E845C" wp14:editId="3B48BC80">
          <wp:simplePos x="0" y="0"/>
          <wp:positionH relativeFrom="column">
            <wp:posOffset>4005451</wp:posOffset>
          </wp:positionH>
          <wp:positionV relativeFrom="paragraph">
            <wp:posOffset>-82984</wp:posOffset>
          </wp:positionV>
          <wp:extent cx="2204252" cy="577515"/>
          <wp:effectExtent l="19050" t="0" r="5548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grafica/Desktop/Schermata 2018-10-25 alle 12.19.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4252" cy="57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6462"/>
    <w:multiLevelType w:val="multilevel"/>
    <w:tmpl w:val="7BE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F94FFD"/>
    <w:multiLevelType w:val="hybridMultilevel"/>
    <w:tmpl w:val="2EB2C0DC"/>
    <w:lvl w:ilvl="0" w:tplc="1F148D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637C"/>
    <w:multiLevelType w:val="hybridMultilevel"/>
    <w:tmpl w:val="114AB0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64992"/>
    <w:multiLevelType w:val="hybridMultilevel"/>
    <w:tmpl w:val="E8023DF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886836">
    <w:abstractNumId w:val="0"/>
  </w:num>
  <w:num w:numId="2" w16cid:durableId="1490748496">
    <w:abstractNumId w:val="2"/>
  </w:num>
  <w:num w:numId="3" w16cid:durableId="2076275942">
    <w:abstractNumId w:val="1"/>
  </w:num>
  <w:num w:numId="4" w16cid:durableId="560100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49"/>
    <w:rsid w:val="00010D5E"/>
    <w:rsid w:val="00035A54"/>
    <w:rsid w:val="000445AD"/>
    <w:rsid w:val="0005583C"/>
    <w:rsid w:val="000778E3"/>
    <w:rsid w:val="00080837"/>
    <w:rsid w:val="00091A5D"/>
    <w:rsid w:val="00097434"/>
    <w:rsid w:val="000B414F"/>
    <w:rsid w:val="000B7BF8"/>
    <w:rsid w:val="00102CBA"/>
    <w:rsid w:val="00121399"/>
    <w:rsid w:val="00130A0C"/>
    <w:rsid w:val="00140F90"/>
    <w:rsid w:val="00143C26"/>
    <w:rsid w:val="00146026"/>
    <w:rsid w:val="00182676"/>
    <w:rsid w:val="00193324"/>
    <w:rsid w:val="001A255D"/>
    <w:rsid w:val="001E157B"/>
    <w:rsid w:val="001E5BB9"/>
    <w:rsid w:val="00212E68"/>
    <w:rsid w:val="00220B80"/>
    <w:rsid w:val="00227953"/>
    <w:rsid w:val="00237424"/>
    <w:rsid w:val="002B5617"/>
    <w:rsid w:val="002C7C23"/>
    <w:rsid w:val="002E1DEB"/>
    <w:rsid w:val="002F6C0D"/>
    <w:rsid w:val="00314354"/>
    <w:rsid w:val="00315281"/>
    <w:rsid w:val="00326078"/>
    <w:rsid w:val="00327FE9"/>
    <w:rsid w:val="003D6D8A"/>
    <w:rsid w:val="003E12AF"/>
    <w:rsid w:val="00403340"/>
    <w:rsid w:val="00413F3F"/>
    <w:rsid w:val="0042222A"/>
    <w:rsid w:val="00460FF9"/>
    <w:rsid w:val="004A6235"/>
    <w:rsid w:val="004C1049"/>
    <w:rsid w:val="004D2A84"/>
    <w:rsid w:val="00544FFA"/>
    <w:rsid w:val="00560B93"/>
    <w:rsid w:val="00585F2A"/>
    <w:rsid w:val="0059621F"/>
    <w:rsid w:val="005B439D"/>
    <w:rsid w:val="005C2F38"/>
    <w:rsid w:val="005F3089"/>
    <w:rsid w:val="00662D83"/>
    <w:rsid w:val="00684A0A"/>
    <w:rsid w:val="006A2058"/>
    <w:rsid w:val="006D03F7"/>
    <w:rsid w:val="006D292F"/>
    <w:rsid w:val="006F6CC4"/>
    <w:rsid w:val="00750951"/>
    <w:rsid w:val="00760F03"/>
    <w:rsid w:val="00767A3D"/>
    <w:rsid w:val="00780FCD"/>
    <w:rsid w:val="007952D5"/>
    <w:rsid w:val="007F2513"/>
    <w:rsid w:val="007F4E5E"/>
    <w:rsid w:val="008354DC"/>
    <w:rsid w:val="00836E84"/>
    <w:rsid w:val="008462D3"/>
    <w:rsid w:val="00891E9A"/>
    <w:rsid w:val="008A28F9"/>
    <w:rsid w:val="008A2F15"/>
    <w:rsid w:val="008F0988"/>
    <w:rsid w:val="008F64D3"/>
    <w:rsid w:val="009116E6"/>
    <w:rsid w:val="00944799"/>
    <w:rsid w:val="009614CD"/>
    <w:rsid w:val="00961E0D"/>
    <w:rsid w:val="00970213"/>
    <w:rsid w:val="009959FE"/>
    <w:rsid w:val="00995EED"/>
    <w:rsid w:val="00A03C01"/>
    <w:rsid w:val="00A626F7"/>
    <w:rsid w:val="00A647A4"/>
    <w:rsid w:val="00A64DA1"/>
    <w:rsid w:val="00AC5F58"/>
    <w:rsid w:val="00B10DA4"/>
    <w:rsid w:val="00B44EB7"/>
    <w:rsid w:val="00B54B39"/>
    <w:rsid w:val="00BA1D14"/>
    <w:rsid w:val="00BA58EE"/>
    <w:rsid w:val="00BB1FFD"/>
    <w:rsid w:val="00BB3406"/>
    <w:rsid w:val="00BC327E"/>
    <w:rsid w:val="00BC4A80"/>
    <w:rsid w:val="00C0181B"/>
    <w:rsid w:val="00C0338D"/>
    <w:rsid w:val="00C2117A"/>
    <w:rsid w:val="00C27249"/>
    <w:rsid w:val="00C91276"/>
    <w:rsid w:val="00CC2CD1"/>
    <w:rsid w:val="00CC6FB0"/>
    <w:rsid w:val="00CE2ABA"/>
    <w:rsid w:val="00CF5892"/>
    <w:rsid w:val="00D0408B"/>
    <w:rsid w:val="00D0445B"/>
    <w:rsid w:val="00D46D69"/>
    <w:rsid w:val="00D61D21"/>
    <w:rsid w:val="00DA501F"/>
    <w:rsid w:val="00DC0E9C"/>
    <w:rsid w:val="00E00C7B"/>
    <w:rsid w:val="00E1236B"/>
    <w:rsid w:val="00E36587"/>
    <w:rsid w:val="00E372AD"/>
    <w:rsid w:val="00E37B78"/>
    <w:rsid w:val="00E570DA"/>
    <w:rsid w:val="00E91035"/>
    <w:rsid w:val="00EB58BF"/>
    <w:rsid w:val="00EB6B04"/>
    <w:rsid w:val="00EC2949"/>
    <w:rsid w:val="00EC7694"/>
    <w:rsid w:val="00F1687A"/>
    <w:rsid w:val="00F232FC"/>
    <w:rsid w:val="00F3374F"/>
    <w:rsid w:val="00F434F1"/>
    <w:rsid w:val="00F545FC"/>
    <w:rsid w:val="00F657B2"/>
    <w:rsid w:val="00FC7AC0"/>
    <w:rsid w:val="00F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27167"/>
  <w15:docId w15:val="{8C847550-ED98-4EC8-A60C-3C3E10BF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0D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10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1049"/>
  </w:style>
  <w:style w:type="paragraph" w:styleId="Pidipagina">
    <w:name w:val="footer"/>
    <w:basedOn w:val="Normale"/>
    <w:link w:val="PidipaginaCarattere"/>
    <w:uiPriority w:val="99"/>
    <w:unhideWhenUsed/>
    <w:rsid w:val="004C10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1049"/>
  </w:style>
  <w:style w:type="character" w:styleId="Collegamentoipertestuale">
    <w:name w:val="Hyperlink"/>
    <w:basedOn w:val="Carpredefinitoparagrafo"/>
    <w:uiPriority w:val="99"/>
    <w:unhideWhenUsed/>
    <w:rsid w:val="001A255D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1A25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1A255D"/>
    <w:rPr>
      <w:b/>
      <w:bCs/>
    </w:rPr>
  </w:style>
  <w:style w:type="paragraph" w:styleId="Paragrafoelenco">
    <w:name w:val="List Paragraph"/>
    <w:basedOn w:val="Normale"/>
    <w:uiPriority w:val="34"/>
    <w:qFormat/>
    <w:rsid w:val="00891E9A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780FCD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F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F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4FFA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A235E4A-CE86-4678-B8E1-8FA97101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Anonimo</cp:lastModifiedBy>
  <cp:revision>14</cp:revision>
  <cp:lastPrinted>2020-01-31T05:59:00Z</cp:lastPrinted>
  <dcterms:created xsi:type="dcterms:W3CDTF">2024-11-11T06:46:00Z</dcterms:created>
  <dcterms:modified xsi:type="dcterms:W3CDTF">2026-02-18T16:53:00Z</dcterms:modified>
</cp:coreProperties>
</file>